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after="0" w:afterAutospacing="0" w:line="560" w:lineRule="exact"/>
        <w:jc w:val="center"/>
        <w:textAlignment w:val="auto"/>
        <w:outlineLvl w:val="9"/>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2023年度</w:t>
      </w:r>
      <w:r>
        <w:rPr>
          <w:rFonts w:hint="eastAsia" w:ascii="方正小标宋简体" w:eastAsia="方正小标宋简体"/>
          <w:sz w:val="44"/>
          <w:szCs w:val="44"/>
          <w:lang w:eastAsia="zh-CN"/>
        </w:rPr>
        <w:t>竖新镇</w:t>
      </w:r>
      <w:r>
        <w:rPr>
          <w:rFonts w:hint="eastAsia" w:ascii="方正小标宋简体" w:eastAsia="方正小标宋简体"/>
          <w:sz w:val="44"/>
          <w:szCs w:val="44"/>
        </w:rPr>
        <w:t>水产养殖绿色生产方式</w:t>
      </w:r>
    </w:p>
    <w:p>
      <w:pPr>
        <w:keepNext w:val="0"/>
        <w:keepLines w:val="0"/>
        <w:pageBreakBefore w:val="0"/>
        <w:widowControl w:val="0"/>
        <w:kinsoku/>
        <w:wordWrap/>
        <w:overflowPunct/>
        <w:topLinePunct w:val="0"/>
        <w:autoSpaceDE w:val="0"/>
        <w:autoSpaceDN/>
        <w:bidi w:val="0"/>
        <w:adjustRightInd/>
        <w:snapToGrid/>
        <w:spacing w:after="0" w:afterAutospacing="0" w:line="560" w:lineRule="exact"/>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推广工作方案</w:t>
      </w:r>
    </w:p>
    <w:p>
      <w:pPr>
        <w:pStyle w:val="2"/>
        <w:spacing w:afterAutospacing="0" w:line="560" w:lineRule="exact"/>
      </w:pPr>
    </w:p>
    <w:p>
      <w:pPr>
        <w:keepNext w:val="0"/>
        <w:keepLines w:val="0"/>
        <w:pageBreakBefore w:val="0"/>
        <w:widowControl w:val="0"/>
        <w:kinsoku/>
        <w:wordWrap/>
        <w:overflowPunct/>
        <w:topLinePunct w:val="0"/>
        <w:autoSpaceDE w:val="0"/>
        <w:autoSpaceDN/>
        <w:bidi w:val="0"/>
        <w:adjustRightInd/>
        <w:snapToGrid w:val="0"/>
        <w:spacing w:after="0" w:afterAutospacing="0" w:line="560" w:lineRule="exact"/>
        <w:ind w:firstLine="640"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rPr>
        <w:t>为促进本</w:t>
      </w:r>
      <w:r>
        <w:rPr>
          <w:rFonts w:hint="eastAsia" w:ascii="仿宋_GB2312" w:hAnsi="仿宋" w:eastAsia="仿宋_GB2312"/>
          <w:sz w:val="32"/>
          <w:szCs w:val="32"/>
          <w:lang w:eastAsia="zh-CN"/>
        </w:rPr>
        <w:t>镇</w:t>
      </w:r>
      <w:r>
        <w:rPr>
          <w:rFonts w:hint="eastAsia" w:ascii="仿宋_GB2312" w:hAnsi="仿宋" w:eastAsia="仿宋_GB2312"/>
          <w:sz w:val="32"/>
          <w:szCs w:val="32"/>
        </w:rPr>
        <w:t>水产养殖业绿色、高质量发展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按照</w:t>
      </w:r>
      <w:r>
        <w:rPr>
          <w:rFonts w:hint="eastAsia" w:ascii="仿宋_GB2312" w:hAnsi="仿宋" w:eastAsia="仿宋_GB2312"/>
          <w:sz w:val="32"/>
          <w:szCs w:val="32"/>
          <w:lang w:eastAsia="zh-CN"/>
        </w:rPr>
        <w:t>《</w:t>
      </w:r>
      <w:r>
        <w:rPr>
          <w:rFonts w:hint="eastAsia" w:ascii="仿宋_GB2312" w:hAnsi="仿宋" w:eastAsia="仿宋_GB2312"/>
          <w:sz w:val="32"/>
          <w:szCs w:val="32"/>
        </w:rPr>
        <w:t>关于印发2023年度崇明区水产养殖绿色生产方式推广工作方案的通知</w:t>
      </w:r>
      <w:r>
        <w:rPr>
          <w:rFonts w:hint="eastAsia" w:ascii="仿宋_GB2312" w:hAnsi="仿宋" w:eastAsia="仿宋_GB2312"/>
          <w:sz w:val="32"/>
          <w:szCs w:val="32"/>
          <w:lang w:eastAsia="zh-CN"/>
        </w:rPr>
        <w:t>》（</w:t>
      </w:r>
      <w:r>
        <w:rPr>
          <w:rFonts w:hint="eastAsia" w:ascii="仿宋_GB2312" w:hAnsi="仿宋" w:eastAsia="仿宋_GB2312"/>
          <w:sz w:val="32"/>
          <w:szCs w:val="32"/>
        </w:rPr>
        <w:t>沪崇农发〔202</w:t>
      </w:r>
      <w:r>
        <w:rPr>
          <w:rFonts w:hint="eastAsia" w:ascii="仿宋_GB2312" w:hAnsi="仿宋" w:eastAsia="仿宋_GB2312"/>
          <w:sz w:val="32"/>
          <w:szCs w:val="32"/>
          <w:lang w:val="en-US" w:eastAsia="zh-CN"/>
        </w:rPr>
        <w:t>3</w:t>
      </w:r>
      <w:r>
        <w:rPr>
          <w:rFonts w:hint="eastAsia" w:ascii="仿宋_GB2312" w:hAnsi="仿宋" w:eastAsia="仿宋_GB2312"/>
          <w:sz w:val="32"/>
          <w:szCs w:val="32"/>
        </w:rPr>
        <w:t>〕27号</w:t>
      </w:r>
      <w:r>
        <w:rPr>
          <w:rFonts w:hint="eastAsia" w:ascii="仿宋_GB2312" w:hAnsi="仿宋" w:eastAsia="仿宋_GB2312"/>
          <w:sz w:val="32"/>
          <w:szCs w:val="32"/>
          <w:lang w:eastAsia="zh-CN"/>
        </w:rPr>
        <w:t>）</w:t>
      </w:r>
      <w:r>
        <w:rPr>
          <w:rFonts w:hint="eastAsia" w:ascii="仿宋_GB2312" w:hAnsi="仿宋" w:eastAsia="仿宋_GB2312"/>
          <w:sz w:val="32"/>
          <w:szCs w:val="32"/>
        </w:rPr>
        <w:t>文件精神，围绕</w:t>
      </w:r>
      <w:r>
        <w:rPr>
          <w:rFonts w:hint="eastAsia" w:ascii="仿宋_GB2312" w:hAnsi="仿宋" w:eastAsia="仿宋_GB2312"/>
          <w:sz w:val="32"/>
          <w:szCs w:val="32"/>
          <w:lang w:eastAsia="zh-CN"/>
        </w:rPr>
        <w:t>崇明区</w:t>
      </w:r>
      <w:r>
        <w:rPr>
          <w:rFonts w:hint="eastAsia" w:ascii="仿宋_GB2312" w:hAnsi="仿宋" w:eastAsia="仿宋_GB2312"/>
          <w:sz w:val="32"/>
          <w:szCs w:val="32"/>
        </w:rPr>
        <w:t>乡村振兴年度重点任务和要求，结合我</w:t>
      </w:r>
      <w:r>
        <w:rPr>
          <w:rFonts w:hint="eastAsia" w:ascii="仿宋_GB2312" w:hAnsi="仿宋" w:eastAsia="仿宋_GB2312"/>
          <w:sz w:val="32"/>
          <w:szCs w:val="32"/>
          <w:lang w:eastAsia="zh-CN"/>
        </w:rPr>
        <w:t>镇水产养殖业</w:t>
      </w:r>
      <w:r>
        <w:rPr>
          <w:rFonts w:hint="eastAsia" w:ascii="仿宋_GB2312" w:hAnsi="仿宋" w:eastAsia="仿宋_GB2312"/>
          <w:sz w:val="32"/>
          <w:szCs w:val="32"/>
        </w:rPr>
        <w:t>实际，</w:t>
      </w:r>
      <w:r>
        <w:rPr>
          <w:rFonts w:hint="eastAsia" w:ascii="仿宋_GB2312" w:hAnsi="仿宋" w:eastAsia="仿宋_GB2312"/>
          <w:sz w:val="32"/>
          <w:szCs w:val="32"/>
          <w:lang w:eastAsia="zh-CN"/>
        </w:rPr>
        <w:t>研究</w:t>
      </w:r>
      <w:r>
        <w:rPr>
          <w:rFonts w:hint="eastAsia" w:ascii="仿宋_GB2312" w:hAnsi="仿宋" w:eastAsia="仿宋_GB2312"/>
          <w:sz w:val="32"/>
          <w:szCs w:val="32"/>
        </w:rPr>
        <w:t>制定了《</w:t>
      </w:r>
      <w:r>
        <w:rPr>
          <w:rFonts w:hint="eastAsia" w:ascii="仿宋_GB2312" w:hAnsi="仿宋" w:eastAsia="仿宋_GB2312"/>
          <w:sz w:val="32"/>
          <w:szCs w:val="32"/>
          <w:lang w:val="en-US" w:eastAsia="zh-CN"/>
        </w:rPr>
        <w:t>2023年度</w:t>
      </w:r>
      <w:r>
        <w:rPr>
          <w:rFonts w:hint="eastAsia" w:ascii="仿宋_GB2312" w:hAnsi="仿宋" w:eastAsia="仿宋_GB2312"/>
          <w:sz w:val="32"/>
          <w:szCs w:val="32"/>
          <w:lang w:eastAsia="zh-CN"/>
        </w:rPr>
        <w:t>竖新镇</w:t>
      </w:r>
      <w:r>
        <w:rPr>
          <w:rFonts w:hint="eastAsia" w:ascii="仿宋_GB2312" w:hAnsi="仿宋" w:eastAsia="仿宋_GB2312"/>
          <w:sz w:val="32"/>
          <w:szCs w:val="32"/>
        </w:rPr>
        <w:t>水产养殖绿色生产方式推广工作方案》</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val="0"/>
        <w:autoSpaceDN/>
        <w:bidi w:val="0"/>
        <w:adjustRightInd/>
        <w:snapToGrid w:val="0"/>
        <w:spacing w:after="0" w:afterAutospacing="0" w:line="560" w:lineRule="exact"/>
        <w:ind w:firstLine="640" w:firstLineChars="200"/>
        <w:textAlignment w:val="auto"/>
        <w:outlineLvl w:val="9"/>
        <w:rPr>
          <w:rFonts w:ascii="黑体" w:eastAsia="黑体"/>
          <w:sz w:val="32"/>
          <w:szCs w:val="32"/>
        </w:rPr>
      </w:pPr>
      <w:r>
        <w:rPr>
          <w:rFonts w:hint="eastAsia" w:ascii="黑体" w:hAnsi="黑体" w:eastAsia="黑体"/>
          <w:sz w:val="32"/>
          <w:szCs w:val="32"/>
        </w:rPr>
        <w:t>一、总体目标</w:t>
      </w:r>
    </w:p>
    <w:p>
      <w:pPr>
        <w:keepNext w:val="0"/>
        <w:keepLines w:val="0"/>
        <w:pageBreakBefore w:val="0"/>
        <w:widowControl w:val="0"/>
        <w:kinsoku/>
        <w:wordWrap/>
        <w:overflowPunct/>
        <w:topLinePunct w:val="0"/>
        <w:autoSpaceDE w:val="0"/>
        <w:autoSpaceDN/>
        <w:bidi w:val="0"/>
        <w:adjustRightInd/>
        <w:snapToGrid w:val="0"/>
        <w:spacing w:after="0" w:afterAutospacing="0"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color w:val="000000"/>
          <w:sz w:val="32"/>
          <w:szCs w:val="32"/>
          <w:shd w:val="clear" w:color="auto" w:fill="FFFFFF"/>
        </w:rPr>
        <w:t>按照“上海市水产养殖业绿色发展”的总体要求，以</w:t>
      </w:r>
      <w:r>
        <w:rPr>
          <w:rFonts w:hint="eastAsia" w:ascii="仿宋_GB2312" w:eastAsia="仿宋_GB2312"/>
          <w:color w:val="000000"/>
          <w:sz w:val="32"/>
          <w:szCs w:val="32"/>
          <w:shd w:val="clear" w:color="auto" w:fill="FFFFFF"/>
          <w:lang w:eastAsia="zh-CN"/>
        </w:rPr>
        <w:t>本镇</w:t>
      </w:r>
      <w:r>
        <w:rPr>
          <w:rFonts w:hint="eastAsia" w:ascii="仿宋_GB2312" w:eastAsia="仿宋_GB2312"/>
          <w:color w:val="000000"/>
          <w:sz w:val="32"/>
          <w:szCs w:val="32"/>
          <w:shd w:val="clear" w:color="auto" w:fill="FFFFFF"/>
        </w:rPr>
        <w:t>水产养殖业稳产保供、水产养殖尾水治理长效管理、提高广大水产从业者的绿色养殖理念为抓手，使本</w:t>
      </w:r>
      <w:r>
        <w:rPr>
          <w:rFonts w:hint="eastAsia" w:ascii="仿宋_GB2312" w:eastAsia="仿宋_GB2312"/>
          <w:color w:val="000000"/>
          <w:sz w:val="32"/>
          <w:szCs w:val="32"/>
          <w:shd w:val="clear" w:color="auto" w:fill="FFFFFF"/>
          <w:lang w:eastAsia="zh-CN"/>
        </w:rPr>
        <w:t>镇</w:t>
      </w:r>
      <w:r>
        <w:rPr>
          <w:rFonts w:hint="eastAsia" w:ascii="仿宋_GB2312" w:eastAsia="仿宋_GB2312"/>
          <w:color w:val="000000"/>
          <w:sz w:val="32"/>
          <w:szCs w:val="32"/>
          <w:shd w:val="clear" w:color="auto" w:fill="FFFFFF"/>
        </w:rPr>
        <w:t>以河蟹产业为主的水产养殖业绿色发展水平再上新台阶。全年完成水产养殖绿色生产方式推广</w:t>
      </w:r>
      <w:r>
        <w:rPr>
          <w:rFonts w:hint="eastAsia" w:ascii="仿宋_GB2312" w:eastAsia="仿宋_GB2312"/>
          <w:color w:val="000000"/>
          <w:sz w:val="32"/>
          <w:szCs w:val="32"/>
          <w:shd w:val="clear" w:color="auto" w:fill="FFFFFF"/>
          <w:lang w:val="en-US" w:eastAsia="zh-CN"/>
        </w:rPr>
        <w:t>水</w:t>
      </w:r>
      <w:r>
        <w:rPr>
          <w:rFonts w:hint="eastAsia" w:ascii="仿宋_GB2312" w:eastAsia="仿宋_GB2312"/>
          <w:color w:val="000000"/>
          <w:sz w:val="32"/>
          <w:szCs w:val="32"/>
          <w:shd w:val="clear" w:color="auto" w:fill="FFFFFF"/>
        </w:rPr>
        <w:t>面积</w:t>
      </w:r>
      <w:r>
        <w:rPr>
          <w:rFonts w:hint="eastAsia" w:ascii="仿宋_GB2312" w:eastAsia="仿宋_GB2312"/>
          <w:color w:val="000000"/>
          <w:sz w:val="32"/>
          <w:szCs w:val="32"/>
          <w:shd w:val="clear" w:color="auto" w:fill="FFFFFF"/>
          <w:lang w:val="en-US" w:eastAsia="zh-CN"/>
        </w:rPr>
        <w:t>1951</w:t>
      </w:r>
      <w:r>
        <w:rPr>
          <w:rFonts w:hint="eastAsia" w:ascii="仿宋_GB2312" w:eastAsia="仿宋_GB2312"/>
          <w:color w:val="000000"/>
          <w:sz w:val="32"/>
          <w:szCs w:val="32"/>
          <w:shd w:val="clear" w:color="auto" w:fill="FFFFFF"/>
        </w:rPr>
        <w:t>亩</w:t>
      </w:r>
      <w:r>
        <w:rPr>
          <w:rFonts w:hint="eastAsia" w:ascii="仿宋_GB2312" w:eastAsia="仿宋_GB2312"/>
          <w:color w:val="000000"/>
          <w:sz w:val="32"/>
          <w:szCs w:val="32"/>
          <w:shd w:val="clear" w:color="auto" w:fill="FFFFFF"/>
          <w:lang w:eastAsia="zh-CN"/>
        </w:rPr>
        <w:t>（全覆盖）</w:t>
      </w:r>
      <w:r>
        <w:rPr>
          <w:rFonts w:hint="eastAsia" w:ascii="仿宋_GB2312" w:eastAsia="仿宋_GB2312"/>
          <w:color w:val="000000"/>
          <w:sz w:val="32"/>
          <w:szCs w:val="32"/>
          <w:shd w:val="clear" w:color="auto" w:fill="FFFFFF"/>
        </w:rPr>
        <w:t>，水产品年产量稳定在</w:t>
      </w:r>
      <w:r>
        <w:rPr>
          <w:rFonts w:hint="eastAsia" w:ascii="仿宋_GB2312" w:eastAsia="仿宋_GB2312"/>
          <w:color w:val="000000"/>
          <w:sz w:val="32"/>
          <w:szCs w:val="32"/>
          <w:shd w:val="clear" w:color="auto" w:fill="FFFFFF"/>
          <w:lang w:val="en-US" w:eastAsia="zh-CN"/>
        </w:rPr>
        <w:t>1301</w:t>
      </w:r>
      <w:r>
        <w:rPr>
          <w:rFonts w:hint="eastAsia" w:ascii="仿宋_GB2312" w:eastAsia="仿宋_GB2312"/>
          <w:color w:val="000000"/>
          <w:sz w:val="32"/>
          <w:szCs w:val="32"/>
          <w:shd w:val="clear" w:color="auto" w:fill="FFFFFF"/>
        </w:rPr>
        <w:t>吨以上</w:t>
      </w:r>
      <w:r>
        <w:rPr>
          <w:rFonts w:hint="eastAsia" w:ascii="仿宋_GB2312" w:eastAsia="仿宋_GB2312"/>
          <w:color w:val="000000"/>
          <w:sz w:val="32"/>
          <w:szCs w:val="32"/>
          <w:shd w:val="clear" w:color="auto" w:fill="FFFFFF"/>
          <w:lang w:eastAsia="zh-CN"/>
        </w:rPr>
        <w:t>（含近海捕捞），</w:t>
      </w:r>
      <w:r>
        <w:rPr>
          <w:rFonts w:hint="eastAsia" w:ascii="仿宋_GB2312" w:eastAsia="仿宋_GB2312"/>
          <w:color w:val="000000"/>
          <w:sz w:val="32"/>
          <w:szCs w:val="32"/>
          <w:shd w:val="clear" w:color="auto" w:fill="FFFFFF"/>
        </w:rPr>
        <w:t>开展</w:t>
      </w:r>
      <w:r>
        <w:rPr>
          <w:rFonts w:hint="eastAsia" w:ascii="仿宋_GB2312" w:eastAsia="仿宋_GB2312"/>
          <w:color w:val="000000"/>
          <w:sz w:val="32"/>
          <w:szCs w:val="32"/>
          <w:shd w:val="clear" w:color="auto" w:fill="FFFFFF"/>
          <w:lang w:val="en-US" w:eastAsia="zh-CN"/>
        </w:rPr>
        <w:t>2家</w:t>
      </w:r>
      <w:r>
        <w:rPr>
          <w:rFonts w:hint="eastAsia" w:ascii="仿宋_GB2312" w:eastAsia="仿宋_GB2312"/>
          <w:color w:val="000000"/>
          <w:sz w:val="32"/>
          <w:szCs w:val="32"/>
          <w:shd w:val="clear" w:color="auto" w:fill="FFFFFF"/>
        </w:rPr>
        <w:t>水产绿色</w:t>
      </w:r>
      <w:r>
        <w:rPr>
          <w:rFonts w:hint="eastAsia" w:ascii="仿宋_GB2312" w:eastAsia="仿宋_GB2312"/>
          <w:color w:val="000000"/>
          <w:sz w:val="32"/>
          <w:szCs w:val="32"/>
          <w:shd w:val="clear" w:color="auto" w:fill="FFFFFF"/>
          <w:lang w:eastAsia="zh-CN"/>
        </w:rPr>
        <w:t>生产储备</w:t>
      </w:r>
      <w:r>
        <w:rPr>
          <w:rFonts w:hint="eastAsia" w:ascii="仿宋_GB2312" w:eastAsia="仿宋_GB2312"/>
          <w:color w:val="000000"/>
          <w:sz w:val="32"/>
          <w:szCs w:val="32"/>
          <w:shd w:val="clear" w:color="auto" w:fill="FFFFFF"/>
        </w:rPr>
        <w:t>基地创建</w:t>
      </w:r>
      <w:r>
        <w:rPr>
          <w:rFonts w:hint="eastAsia" w:ascii="仿宋_GB2312" w:eastAsia="仿宋_GB2312"/>
          <w:color w:val="000000"/>
          <w:sz w:val="32"/>
          <w:szCs w:val="32"/>
          <w:shd w:val="clear" w:color="auto" w:fill="FFFFFF"/>
          <w:lang w:eastAsia="zh-CN"/>
        </w:rPr>
        <w:t>工作</w:t>
      </w:r>
      <w:r>
        <w:rPr>
          <w:rFonts w:hint="eastAsia" w:ascii="仿宋_GB2312" w:eastAsia="仿宋_GB2312"/>
          <w:color w:val="000000"/>
          <w:sz w:val="32"/>
          <w:szCs w:val="32"/>
          <w:shd w:val="clear" w:color="auto" w:fill="FFFFFF"/>
        </w:rPr>
        <w:t>。持续开展水产养殖环境</w:t>
      </w:r>
      <w:r>
        <w:rPr>
          <w:rFonts w:hint="eastAsia" w:ascii="仿宋_GB2312" w:eastAsia="仿宋_GB2312"/>
          <w:color w:val="000000"/>
          <w:sz w:val="32"/>
          <w:szCs w:val="32"/>
          <w:shd w:val="clear" w:color="auto" w:fill="FFFFFF"/>
          <w:lang w:eastAsia="zh-CN"/>
        </w:rPr>
        <w:t>监督检</w:t>
      </w:r>
      <w:r>
        <w:rPr>
          <w:rFonts w:hint="eastAsia" w:ascii="仿宋_GB2312" w:eastAsia="仿宋_GB2312"/>
          <w:color w:val="000000"/>
          <w:sz w:val="32"/>
          <w:szCs w:val="32"/>
          <w:shd w:val="clear" w:color="auto" w:fill="FFFFFF"/>
        </w:rPr>
        <w:t>测，</w:t>
      </w:r>
      <w:r>
        <w:rPr>
          <w:rFonts w:hint="eastAsia" w:ascii="仿宋_GB2312" w:eastAsia="仿宋_GB2312"/>
          <w:color w:val="000000"/>
          <w:sz w:val="32"/>
          <w:szCs w:val="32"/>
          <w:shd w:val="clear" w:color="auto" w:fill="FFFFFF"/>
          <w:lang w:eastAsia="zh-CN"/>
        </w:rPr>
        <w:t>本镇</w:t>
      </w:r>
      <w:r>
        <w:rPr>
          <w:rFonts w:hint="eastAsia" w:ascii="仿宋_GB2312" w:eastAsia="仿宋_GB2312"/>
          <w:color w:val="000000"/>
          <w:sz w:val="32"/>
          <w:szCs w:val="32"/>
          <w:shd w:val="clear" w:color="auto" w:fill="FFFFFF"/>
        </w:rPr>
        <w:t>水产养殖尾水治理得到长效管理，各</w:t>
      </w:r>
      <w:r>
        <w:rPr>
          <w:rFonts w:hint="eastAsia" w:ascii="仿宋_GB2312" w:hAnsi="微软雅黑" w:eastAsia="仿宋_GB2312"/>
          <w:color w:val="000000"/>
          <w:sz w:val="31"/>
          <w:szCs w:val="31"/>
          <w:shd w:val="clear" w:color="auto" w:fill="FFFFFF"/>
        </w:rPr>
        <w:t>养殖</w:t>
      </w:r>
      <w:r>
        <w:rPr>
          <w:rFonts w:hint="eastAsia" w:ascii="仿宋_GB2312" w:eastAsia="仿宋_GB2312"/>
          <w:sz w:val="32"/>
          <w:szCs w:val="32"/>
        </w:rPr>
        <w:t>尾水点位设施设备运行正常</w:t>
      </w:r>
    </w:p>
    <w:p>
      <w:pPr>
        <w:keepNext w:val="0"/>
        <w:keepLines w:val="0"/>
        <w:pageBreakBefore w:val="0"/>
        <w:widowControl w:val="0"/>
        <w:kinsoku/>
        <w:wordWrap/>
        <w:overflowPunct/>
        <w:topLinePunct w:val="0"/>
        <w:autoSpaceDE w:val="0"/>
        <w:autoSpaceDN/>
        <w:bidi w:val="0"/>
        <w:adjustRightInd/>
        <w:snapToGrid w:val="0"/>
        <w:spacing w:after="0" w:afterAutospacing="0"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工作</w:t>
      </w:r>
      <w:r>
        <w:rPr>
          <w:rFonts w:hint="eastAsia" w:ascii="黑体" w:hAnsi="黑体" w:eastAsia="黑体" w:cs="黑体"/>
          <w:sz w:val="32"/>
          <w:szCs w:val="32"/>
        </w:rPr>
        <w:t>任务</w:t>
      </w:r>
    </w:p>
    <w:p>
      <w:pPr>
        <w:keepNext w:val="0"/>
        <w:keepLines w:val="0"/>
        <w:pageBreakBefore w:val="0"/>
        <w:widowControl w:val="0"/>
        <w:kinsoku/>
        <w:wordWrap/>
        <w:overflowPunct/>
        <w:topLinePunct w:val="0"/>
        <w:autoSpaceDN/>
        <w:bidi w:val="0"/>
        <w:adjustRightInd/>
        <w:snapToGrid w:val="0"/>
        <w:spacing w:after="0" w:afterAutospacing="0" w:line="560" w:lineRule="exact"/>
        <w:ind w:firstLine="640" w:firstLineChars="200"/>
        <w:textAlignment w:val="auto"/>
        <w:outlineLvl w:val="9"/>
        <w:rPr>
          <w:rFonts w:hint="eastAsia" w:ascii="仿宋_GB2312" w:hAnsi="仿宋" w:eastAsia="仿宋_GB2312"/>
          <w:sz w:val="32"/>
          <w:szCs w:val="32"/>
          <w:lang w:eastAsia="zh-CN"/>
        </w:rPr>
      </w:pPr>
      <w:r>
        <w:rPr>
          <w:rFonts w:hint="eastAsia" w:ascii="楷体_GB2312" w:hAnsi="楷体_GB2312" w:eastAsia="楷体_GB2312" w:cs="楷体_GB2312"/>
          <w:sz w:val="32"/>
          <w:szCs w:val="32"/>
        </w:rPr>
        <w:t>（一）推广</w:t>
      </w:r>
      <w:r>
        <w:rPr>
          <w:rFonts w:hint="eastAsia" w:ascii="楷体_GB2312" w:hAnsi="楷体_GB2312" w:eastAsia="楷体_GB2312" w:cs="楷体_GB2312"/>
          <w:sz w:val="32"/>
          <w:szCs w:val="32"/>
          <w:lang w:val="en-US" w:eastAsia="zh-CN"/>
        </w:rPr>
        <w:t>水产养殖</w:t>
      </w:r>
      <w:r>
        <w:rPr>
          <w:rFonts w:hint="eastAsia" w:ascii="楷体_GB2312" w:hAnsi="楷体_GB2312" w:eastAsia="楷体_GB2312" w:cs="楷体_GB2312"/>
          <w:sz w:val="32"/>
          <w:szCs w:val="32"/>
        </w:rPr>
        <w:t>绿色生产方式。</w:t>
      </w:r>
      <w:r>
        <w:rPr>
          <w:rFonts w:hint="eastAsia" w:ascii="仿宋_GB2312" w:hAnsi="仿宋" w:eastAsia="仿宋_GB2312"/>
          <w:sz w:val="32"/>
          <w:szCs w:val="32"/>
          <w:lang w:eastAsia="zh-CN"/>
        </w:rPr>
        <w:t>组织本镇水产养殖主体</w:t>
      </w:r>
      <w:r>
        <w:rPr>
          <w:rFonts w:hint="eastAsia" w:ascii="仿宋_GB2312" w:hAnsi="仿宋" w:eastAsia="仿宋_GB2312"/>
          <w:sz w:val="32"/>
          <w:szCs w:val="32"/>
        </w:rPr>
        <w:t>按照《上海市水产养殖绿色生产操作规程（试行）》</w:t>
      </w:r>
      <w:r>
        <w:rPr>
          <w:rFonts w:hint="eastAsia" w:ascii="仿宋_GB2312" w:hAnsi="仿宋" w:eastAsia="仿宋_GB2312"/>
          <w:sz w:val="32"/>
          <w:szCs w:val="32"/>
          <w:lang w:eastAsia="zh-CN"/>
        </w:rPr>
        <w:t>完善相应的生产规章制度和技术操作规定</w:t>
      </w:r>
      <w:r>
        <w:rPr>
          <w:rFonts w:hint="eastAsia" w:ascii="仿宋_GB2312" w:hAnsi="仿宋" w:eastAsia="仿宋_GB2312"/>
          <w:sz w:val="32"/>
          <w:szCs w:val="32"/>
        </w:rPr>
        <w:t>，</w:t>
      </w:r>
      <w:r>
        <w:rPr>
          <w:rFonts w:hint="eastAsia" w:ascii="仿宋_GB2312" w:hAnsi="仿宋" w:eastAsia="仿宋_GB2312"/>
          <w:sz w:val="32"/>
          <w:szCs w:val="32"/>
          <w:lang w:eastAsia="zh-CN"/>
        </w:rPr>
        <w:t>按照区级部门考核任务指标，全镇</w:t>
      </w:r>
      <w:r>
        <w:rPr>
          <w:rFonts w:hint="eastAsia" w:ascii="仿宋_GB2312" w:hAnsi="仿宋" w:eastAsia="仿宋_GB2312"/>
          <w:sz w:val="32"/>
          <w:szCs w:val="32"/>
        </w:rPr>
        <w:t>完成</w:t>
      </w:r>
      <w:r>
        <w:rPr>
          <w:rFonts w:hint="eastAsia" w:ascii="仿宋_GB2312" w:hAnsi="仿宋" w:eastAsia="仿宋_GB2312"/>
          <w:sz w:val="32"/>
          <w:szCs w:val="32"/>
          <w:lang w:val="en-US" w:eastAsia="zh-CN"/>
        </w:rPr>
        <w:t>1951</w:t>
      </w:r>
      <w:r>
        <w:rPr>
          <w:rFonts w:hint="eastAsia" w:ascii="仿宋_GB2312" w:hAnsi="仿宋" w:eastAsia="仿宋_GB2312"/>
          <w:sz w:val="32"/>
          <w:szCs w:val="32"/>
        </w:rPr>
        <w:t>亩水面积的绿色养殖推广，水产品产量稳定在</w:t>
      </w:r>
      <w:r>
        <w:rPr>
          <w:rFonts w:hint="eastAsia" w:ascii="仿宋_GB2312" w:hAnsi="仿宋" w:eastAsia="仿宋_GB2312"/>
          <w:sz w:val="32"/>
          <w:szCs w:val="32"/>
          <w:lang w:val="en-US" w:eastAsia="zh-CN"/>
        </w:rPr>
        <w:t>1301</w:t>
      </w:r>
      <w:r>
        <w:rPr>
          <w:rFonts w:hint="eastAsia" w:ascii="仿宋_GB2312" w:hAnsi="仿宋" w:eastAsia="仿宋_GB2312"/>
          <w:sz w:val="32"/>
          <w:szCs w:val="32"/>
        </w:rPr>
        <w:t>吨以上</w:t>
      </w:r>
      <w:r>
        <w:rPr>
          <w:rFonts w:hint="eastAsia" w:ascii="仿宋_GB2312" w:hAnsi="仿宋" w:eastAsia="仿宋_GB2312"/>
          <w:sz w:val="32"/>
          <w:szCs w:val="32"/>
          <w:lang w:eastAsia="zh-CN"/>
        </w:rPr>
        <w:t>。（详见附件</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N/>
        <w:bidi w:val="0"/>
        <w:adjustRightInd/>
        <w:snapToGrid w:val="0"/>
        <w:spacing w:after="0" w:afterAutospacing="0" w:line="560" w:lineRule="exact"/>
        <w:ind w:firstLine="640" w:firstLineChars="200"/>
        <w:textAlignment w:val="auto"/>
        <w:outlineLvl w:val="9"/>
        <w:rPr>
          <w:rFonts w:hint="eastAsia" w:ascii="仿宋_GB2312" w:eastAsia="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加强</w:t>
      </w:r>
      <w:r>
        <w:rPr>
          <w:rFonts w:hint="eastAsia" w:ascii="楷体_GB2312" w:hAnsi="楷体_GB2312" w:eastAsia="楷体_GB2312" w:cs="楷体_GB2312"/>
          <w:sz w:val="32"/>
          <w:szCs w:val="32"/>
          <w:lang w:val="en-US" w:eastAsia="zh-CN"/>
        </w:rPr>
        <w:t>水产养殖尾水长效管理</w:t>
      </w:r>
      <w:r>
        <w:rPr>
          <w:rFonts w:hint="eastAsia" w:ascii="楷体_GB2312" w:hAnsi="楷体_GB2312" w:eastAsia="楷体_GB2312" w:cs="楷体_GB2312"/>
          <w:sz w:val="32"/>
          <w:szCs w:val="32"/>
        </w:rPr>
        <w:t>。</w:t>
      </w:r>
      <w:r>
        <w:rPr>
          <w:rFonts w:hint="eastAsia" w:ascii="仿宋_GB2312" w:hAnsi="仿宋" w:eastAsia="仿宋_GB2312"/>
          <w:sz w:val="32"/>
          <w:szCs w:val="32"/>
          <w:lang w:eastAsia="zh-CN"/>
        </w:rPr>
        <w:t>根据《崇明区水产养殖尾水治理长效管理考核办法》，</w:t>
      </w:r>
      <w:r>
        <w:rPr>
          <w:rFonts w:hint="eastAsia" w:ascii="仿宋_GB2312" w:hAnsi="仿宋" w:eastAsia="仿宋_GB2312"/>
          <w:sz w:val="32"/>
          <w:szCs w:val="32"/>
          <w:lang w:val="en-US" w:eastAsia="zh-CN"/>
        </w:rPr>
        <w:t>建立</w:t>
      </w:r>
      <w:r>
        <w:rPr>
          <w:rFonts w:hint="eastAsia" w:ascii="仿宋_GB2312" w:hAnsi="仿宋" w:eastAsia="仿宋_GB2312"/>
          <w:sz w:val="32"/>
          <w:szCs w:val="32"/>
          <w:lang w:eastAsia="zh-CN"/>
        </w:rPr>
        <w:t>落实日常运维制度</w:t>
      </w:r>
      <w:r>
        <w:rPr>
          <w:rFonts w:hint="eastAsia" w:ascii="仿宋_GB2312" w:hAnsi="仿宋" w:eastAsia="仿宋_GB2312"/>
          <w:sz w:val="32"/>
          <w:szCs w:val="32"/>
        </w:rPr>
        <w:t>，</w:t>
      </w:r>
      <w:r>
        <w:rPr>
          <w:rFonts w:hint="eastAsia" w:ascii="仿宋_GB2312" w:hAnsi="仿宋" w:eastAsia="仿宋_GB2312"/>
          <w:sz w:val="32"/>
          <w:szCs w:val="32"/>
          <w:lang w:val="en-US" w:eastAsia="zh-CN"/>
        </w:rPr>
        <w:t>推进源头治理</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指导养殖主体实施绿色生产，确保水质稳定达标</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确保</w:t>
      </w:r>
      <w:r>
        <w:rPr>
          <w:rFonts w:hint="eastAsia" w:ascii="仿宋_GB2312" w:hAnsi="仿宋" w:eastAsia="仿宋_GB2312"/>
          <w:sz w:val="32"/>
          <w:szCs w:val="32"/>
        </w:rPr>
        <w:t>排放水质符合《淡水池塘养殖水排放要求》（SC/T9101-2007）一</w:t>
      </w:r>
      <w:r>
        <w:rPr>
          <w:rFonts w:hint="eastAsia" w:ascii="仿宋_GB2312" w:eastAsia="仿宋_GB2312"/>
          <w:sz w:val="32"/>
          <w:szCs w:val="32"/>
        </w:rPr>
        <w:t>级标准</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N/>
        <w:bidi w:val="0"/>
        <w:adjustRightInd/>
        <w:snapToGrid w:val="0"/>
        <w:spacing w:after="0" w:afterAutospacing="0" w:line="560" w:lineRule="exact"/>
        <w:ind w:firstLine="640" w:firstLineChars="200"/>
        <w:textAlignment w:val="auto"/>
        <w:outlineLvl w:val="9"/>
        <w:rPr>
          <w:rFonts w:hint="eastAsia" w:ascii="仿宋_GB2312" w:eastAsia="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加强水产</w:t>
      </w:r>
      <w:r>
        <w:rPr>
          <w:rFonts w:hint="eastAsia" w:ascii="楷体_GB2312" w:hAnsi="楷体_GB2312" w:eastAsia="楷体_GB2312" w:cs="楷体_GB2312"/>
          <w:sz w:val="32"/>
          <w:szCs w:val="32"/>
          <w:lang w:val="en-US" w:eastAsia="zh-CN"/>
        </w:rPr>
        <w:t>品安全日常</w:t>
      </w:r>
      <w:r>
        <w:rPr>
          <w:rFonts w:hint="eastAsia" w:ascii="楷体_GB2312" w:hAnsi="楷体_GB2312" w:eastAsia="楷体_GB2312" w:cs="楷体_GB2312"/>
          <w:sz w:val="32"/>
          <w:szCs w:val="32"/>
          <w:lang w:eastAsia="zh-CN"/>
        </w:rPr>
        <w:t>监管。</w:t>
      </w:r>
      <w:r>
        <w:rPr>
          <w:rFonts w:hint="eastAsia" w:ascii="仿宋_GB2312" w:hAnsi="仿宋" w:eastAsia="仿宋_GB2312"/>
          <w:sz w:val="32"/>
          <w:szCs w:val="32"/>
          <w:lang w:eastAsia="zh-CN"/>
        </w:rPr>
        <w:t>开展水生动物疫病专项检测以及水产品药残检测，落实水产苗种产地检疫制度。强化宣传水产养殖用投入品白名单制度，确保饲料、药品等投入品来源正规可溯，严格执行水产养殖水产养殖用投入品使用休药期规定。</w:t>
      </w:r>
    </w:p>
    <w:p>
      <w:pPr>
        <w:keepNext w:val="0"/>
        <w:keepLines w:val="0"/>
        <w:pageBreakBefore w:val="0"/>
        <w:widowControl w:val="0"/>
        <w:kinsoku/>
        <w:wordWrap/>
        <w:overflowPunct/>
        <w:topLinePunct w:val="0"/>
        <w:autoSpaceDN/>
        <w:bidi w:val="0"/>
        <w:adjustRightInd/>
        <w:snapToGrid w:val="0"/>
        <w:spacing w:after="0" w:afterAutospacing="0" w:line="560" w:lineRule="exact"/>
        <w:ind w:firstLine="640" w:firstLineChars="200"/>
        <w:textAlignment w:val="auto"/>
        <w:outlineLvl w:val="9"/>
        <w:rPr>
          <w:rFonts w:hint="eastAsia" w:ascii="仿宋_GB2312" w:eastAsia="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推进水产养殖信息化工作。</w:t>
      </w:r>
      <w:r>
        <w:rPr>
          <w:rFonts w:hint="eastAsia" w:ascii="仿宋_GB2312" w:eastAsia="仿宋_GB2312"/>
          <w:sz w:val="32"/>
          <w:szCs w:val="32"/>
          <w:lang w:eastAsia="zh-CN"/>
        </w:rPr>
        <w:t>按照上海市农业生产作业信息直报平台工作要求，确保水产养殖主体将生产、销售数据及时、精准地上传平台，销售时在平台上开具承诺达标合格证，做好“申农码”申领工作，实现水产养殖生产全过程信息化管理。在做好信息直报工作的基础上，继续按照要求做好相关纸质材料的归档工作，以保障可全面追溯管理及监督水产养殖生产过程。</w:t>
      </w:r>
    </w:p>
    <w:p>
      <w:pPr>
        <w:keepNext w:val="0"/>
        <w:keepLines w:val="0"/>
        <w:pageBreakBefore w:val="0"/>
        <w:widowControl w:val="0"/>
        <w:kinsoku/>
        <w:wordWrap/>
        <w:overflowPunct/>
        <w:topLinePunct w:val="0"/>
        <w:autoSpaceDN/>
        <w:bidi w:val="0"/>
        <w:adjustRightInd/>
        <w:snapToGrid w:val="0"/>
        <w:spacing w:after="0" w:afterAutospacing="0"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）开展</w:t>
      </w:r>
      <w:r>
        <w:rPr>
          <w:rFonts w:hint="eastAsia" w:ascii="楷体_GB2312" w:hAnsi="楷体_GB2312" w:eastAsia="楷体_GB2312" w:cs="楷体_GB2312"/>
          <w:sz w:val="32"/>
          <w:szCs w:val="32"/>
          <w:lang w:eastAsia="zh-CN"/>
        </w:rPr>
        <w:t>水产养殖</w:t>
      </w:r>
      <w:r>
        <w:rPr>
          <w:rFonts w:hint="eastAsia" w:ascii="楷体_GB2312" w:hAnsi="楷体_GB2312" w:eastAsia="楷体_GB2312" w:cs="楷体_GB2312"/>
          <w:sz w:val="32"/>
          <w:szCs w:val="32"/>
        </w:rPr>
        <w:t>示范场创建。</w:t>
      </w:r>
      <w:r>
        <w:rPr>
          <w:rFonts w:hint="eastAsia" w:ascii="仿宋_GB2312" w:hAnsi="仿宋" w:eastAsia="仿宋_GB2312"/>
          <w:sz w:val="32"/>
          <w:szCs w:val="32"/>
          <w:lang w:eastAsia="zh-CN"/>
        </w:rPr>
        <w:t>按照“完善基础条件、落实管理制度、引领绿色发展”创建标准（</w:t>
      </w:r>
      <w:r>
        <w:rPr>
          <w:rFonts w:hint="eastAsia" w:ascii="仿宋_GB2312" w:hAnsi="仿宋" w:eastAsia="仿宋_GB2312"/>
          <w:sz w:val="32"/>
          <w:szCs w:val="32"/>
          <w:lang w:val="en-US" w:eastAsia="zh-CN"/>
        </w:rPr>
        <w:t>详见附件2</w:t>
      </w:r>
      <w:r>
        <w:rPr>
          <w:rFonts w:hint="eastAsia" w:ascii="仿宋_GB2312" w:hAnsi="仿宋" w:eastAsia="仿宋_GB2312"/>
          <w:sz w:val="32"/>
          <w:szCs w:val="32"/>
          <w:lang w:eastAsia="zh-CN"/>
        </w:rPr>
        <w:t>），</w:t>
      </w:r>
      <w:r>
        <w:rPr>
          <w:rFonts w:hint="eastAsia" w:ascii="仿宋_GB2312" w:hAnsi="仿宋" w:eastAsia="仿宋_GB2312"/>
          <w:sz w:val="32"/>
          <w:szCs w:val="32"/>
        </w:rPr>
        <w:t>结合农产品绿色生产基地创建工作</w:t>
      </w:r>
      <w:r>
        <w:rPr>
          <w:rFonts w:hint="eastAsia" w:ascii="仿宋_GB2312" w:hAnsi="仿宋" w:eastAsia="仿宋_GB2312"/>
          <w:sz w:val="32"/>
          <w:szCs w:val="32"/>
          <w:lang w:eastAsia="zh-CN"/>
        </w:rPr>
        <w:t>与水产养殖现状</w:t>
      </w:r>
      <w:r>
        <w:rPr>
          <w:rFonts w:hint="eastAsia" w:ascii="仿宋_GB2312" w:hAnsi="仿宋" w:eastAsia="仿宋_GB2312"/>
          <w:sz w:val="32"/>
          <w:szCs w:val="32"/>
        </w:rPr>
        <w:t>，开展水产养殖绿色生产</w:t>
      </w:r>
      <w:r>
        <w:rPr>
          <w:rFonts w:hint="eastAsia" w:ascii="仿宋_GB2312" w:hAnsi="仿宋" w:eastAsia="仿宋_GB2312"/>
          <w:sz w:val="32"/>
          <w:szCs w:val="32"/>
          <w:lang w:eastAsia="zh-CN"/>
        </w:rPr>
        <w:t>储备</w:t>
      </w:r>
      <w:r>
        <w:rPr>
          <w:rFonts w:hint="eastAsia" w:ascii="仿宋_GB2312" w:hAnsi="仿宋" w:eastAsia="仿宋_GB2312"/>
          <w:sz w:val="32"/>
          <w:szCs w:val="32"/>
        </w:rPr>
        <w:t>基地创建活动，</w:t>
      </w:r>
      <w:r>
        <w:rPr>
          <w:rFonts w:hint="eastAsia" w:ascii="仿宋_GB2312" w:hAnsi="仿宋" w:eastAsia="仿宋_GB2312"/>
          <w:sz w:val="32"/>
          <w:szCs w:val="32"/>
          <w:lang w:eastAsia="zh-CN"/>
        </w:rPr>
        <w:t>并建立储备基地动态管理机制，明显提升辖区内水产养殖条件，引导树立健康养殖绿色发展</w:t>
      </w:r>
      <w:r>
        <w:rPr>
          <w:rFonts w:hint="eastAsia" w:ascii="仿宋_GB2312" w:hAnsi="仿宋" w:eastAsia="仿宋_GB2312"/>
          <w:sz w:val="32"/>
          <w:szCs w:val="32"/>
          <w:lang w:val="en-US" w:eastAsia="zh-CN"/>
        </w:rPr>
        <w:t>理念</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N/>
        <w:bidi w:val="0"/>
        <w:adjustRightInd/>
        <w:snapToGrid w:val="0"/>
        <w:spacing w:after="0" w:afterAutospacing="0" w:line="560" w:lineRule="exact"/>
        <w:ind w:firstLine="640" w:firstLineChars="200"/>
        <w:textAlignment w:val="auto"/>
        <w:outlineLvl w:val="9"/>
        <w:rPr>
          <w:rFonts w:ascii="仿宋_GB2312"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强化业务培训与法制宣传。配合区级部门，</w:t>
      </w:r>
      <w:r>
        <w:rPr>
          <w:rFonts w:hint="eastAsia" w:ascii="仿宋_GB2312" w:eastAsia="仿宋_GB2312"/>
          <w:sz w:val="32"/>
          <w:szCs w:val="32"/>
          <w:lang w:eastAsia="zh-CN"/>
        </w:rPr>
        <w:t>组织开展区镇监管人员和辖区内水产养殖从业人员的培训工作，做好</w:t>
      </w:r>
      <w:r>
        <w:rPr>
          <w:rFonts w:hint="eastAsia" w:ascii="仿宋_GB2312" w:hAnsi="仿宋" w:eastAsia="仿宋_GB2312"/>
          <w:sz w:val="32"/>
          <w:szCs w:val="32"/>
          <w:lang w:eastAsia="zh-CN"/>
        </w:rPr>
        <w:t>《中华人民共和国动物防疫法》《动物检疫管理办法》《上海市动物防疫条例》《上海市水产品质量安全监督管理办法》等相关法律法规的宣传，树立绿色发展理念，增强法律意识，提高人员业务能力和技术水平。</w:t>
      </w:r>
    </w:p>
    <w:p>
      <w:pPr>
        <w:keepNext w:val="0"/>
        <w:keepLines w:val="0"/>
        <w:pageBreakBefore w:val="0"/>
        <w:widowControl w:val="0"/>
        <w:kinsoku/>
        <w:wordWrap/>
        <w:overflowPunct/>
        <w:topLinePunct w:val="0"/>
        <w:autoSpaceDN/>
        <w:bidi w:val="0"/>
        <w:adjustRightInd/>
        <w:snapToGrid w:val="0"/>
        <w:spacing w:after="0" w:afterAutospacing="0"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职责分工</w:t>
      </w:r>
    </w:p>
    <w:p>
      <w:pPr>
        <w:keepNext w:val="0"/>
        <w:keepLines w:val="0"/>
        <w:pageBreakBefore w:val="0"/>
        <w:widowControl w:val="0"/>
        <w:kinsoku/>
        <w:wordWrap/>
        <w:overflowPunct/>
        <w:topLinePunct w:val="0"/>
        <w:autoSpaceDN/>
        <w:bidi w:val="0"/>
        <w:adjustRightInd/>
        <w:snapToGrid w:val="0"/>
        <w:spacing w:after="0" w:afterAutospacing="0"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eastAsia="zh-CN"/>
        </w:rPr>
        <w:t>镇</w:t>
      </w:r>
      <w:r>
        <w:rPr>
          <w:rFonts w:hint="eastAsia" w:ascii="仿宋_GB2312" w:eastAsia="仿宋_GB2312"/>
          <w:sz w:val="32"/>
          <w:szCs w:val="32"/>
        </w:rPr>
        <w:t>农业农村</w:t>
      </w:r>
      <w:r>
        <w:rPr>
          <w:rFonts w:hint="eastAsia" w:ascii="仿宋_GB2312" w:eastAsia="仿宋_GB2312"/>
          <w:sz w:val="32"/>
          <w:szCs w:val="32"/>
          <w:lang w:eastAsia="zh-CN"/>
        </w:rPr>
        <w:t>办</w:t>
      </w:r>
      <w:r>
        <w:rPr>
          <w:rFonts w:hint="eastAsia" w:ascii="仿宋_GB2312" w:eastAsia="仿宋_GB2312"/>
          <w:sz w:val="32"/>
          <w:szCs w:val="32"/>
        </w:rPr>
        <w:t>统筹</w:t>
      </w:r>
      <w:r>
        <w:rPr>
          <w:rFonts w:hint="eastAsia" w:ascii="仿宋_GB2312" w:eastAsia="仿宋_GB2312" w:cs="仿宋_GB2312"/>
          <w:color w:val="000000"/>
          <w:sz w:val="32"/>
          <w:szCs w:val="32"/>
          <w:shd w:val="clear" w:color="auto" w:fill="FFFFFF"/>
        </w:rPr>
        <w:t>协调推进全区水产养殖绿色生产方式推广工作,</w:t>
      </w:r>
      <w:r>
        <w:rPr>
          <w:rFonts w:hint="eastAsia" w:ascii="仿宋_GB2312" w:eastAsia="仿宋_GB2312" w:cs="仿宋_GB2312"/>
          <w:color w:val="000000"/>
          <w:sz w:val="32"/>
          <w:szCs w:val="32"/>
          <w:shd w:val="clear" w:color="auto" w:fill="FFFFFF"/>
          <w:lang w:eastAsia="zh-CN"/>
        </w:rPr>
        <w:t>牵头组织</w:t>
      </w:r>
      <w:r>
        <w:rPr>
          <w:rFonts w:hint="eastAsia" w:ascii="仿宋_GB2312" w:eastAsia="仿宋_GB2312" w:cs="仿宋_GB2312"/>
          <w:color w:val="000000"/>
          <w:sz w:val="32"/>
          <w:szCs w:val="32"/>
          <w:shd w:val="clear" w:color="auto" w:fill="FFFFFF"/>
        </w:rPr>
        <w:t>完成考核工作。</w:t>
      </w:r>
    </w:p>
    <w:p>
      <w:pPr>
        <w:keepNext w:val="0"/>
        <w:keepLines w:val="0"/>
        <w:pageBreakBefore w:val="0"/>
        <w:widowControl w:val="0"/>
        <w:kinsoku/>
        <w:wordWrap/>
        <w:overflowPunct/>
        <w:topLinePunct w:val="0"/>
        <w:autoSpaceDN/>
        <w:bidi w:val="0"/>
        <w:adjustRightInd/>
        <w:snapToGrid w:val="0"/>
        <w:spacing w:after="0" w:afterAutospacing="0" w:line="560" w:lineRule="exact"/>
        <w:ind w:firstLine="640" w:firstLineChars="200"/>
        <w:textAlignment w:val="auto"/>
        <w:outlineLvl w:val="9"/>
        <w:rPr>
          <w:rFonts w:hint="eastAsia" w:ascii="仿宋_GB2312" w:eastAsia="仿宋_GB2312" w:cs="仿宋_GB2312"/>
          <w:color w:val="000000"/>
          <w:sz w:val="32"/>
          <w:szCs w:val="32"/>
          <w:shd w:val="clear" w:color="auto" w:fill="FFFFFF"/>
          <w:lang w:val="en-US" w:eastAsia="zh-CN" w:bidi="ar-SA"/>
        </w:rPr>
      </w:pPr>
      <w:r>
        <w:rPr>
          <w:rFonts w:hint="eastAsia" w:ascii="仿宋_GB2312" w:eastAsia="仿宋_GB2312" w:cs="仿宋_GB2312"/>
          <w:color w:val="000000"/>
          <w:sz w:val="32"/>
          <w:szCs w:val="32"/>
          <w:shd w:val="clear" w:color="auto" w:fill="FFFFFF"/>
          <w:lang w:val="en-US" w:eastAsia="zh-CN" w:bidi="ar-SA"/>
        </w:rPr>
        <w:t>镇农技中心、各水产养殖涉及村委会负责实施本辖区内水产养殖绿色生产方式推广各项工作，按照工作流程，抓好落实各个环节，扎实有序推进。</w:t>
      </w:r>
    </w:p>
    <w:p>
      <w:pPr>
        <w:keepNext w:val="0"/>
        <w:keepLines w:val="0"/>
        <w:pageBreakBefore w:val="0"/>
        <w:widowControl w:val="0"/>
        <w:kinsoku/>
        <w:wordWrap/>
        <w:overflowPunct/>
        <w:topLinePunct w:val="0"/>
        <w:autoSpaceDN/>
        <w:bidi w:val="0"/>
        <w:adjustRightInd/>
        <w:snapToGrid w:val="0"/>
        <w:spacing w:after="0" w:afterAutospacing="0" w:line="560" w:lineRule="exact"/>
        <w:ind w:firstLine="640" w:firstLineChars="200"/>
        <w:textAlignment w:val="auto"/>
        <w:outlineLvl w:val="9"/>
        <w:rPr>
          <w:rFonts w:hint="default" w:ascii="仿宋_GB2312" w:eastAsia="仿宋_GB2312" w:cs="仿宋_GB2312"/>
          <w:color w:val="000000"/>
          <w:sz w:val="32"/>
          <w:szCs w:val="32"/>
          <w:shd w:val="clear" w:color="auto" w:fill="FFFFFF"/>
          <w:lang w:val="en-US" w:eastAsia="zh-CN" w:bidi="ar-SA"/>
        </w:rPr>
      </w:pPr>
      <w:r>
        <w:rPr>
          <w:rFonts w:hint="eastAsia" w:ascii="仿宋_GB2312" w:eastAsia="仿宋_GB2312" w:cs="仿宋_GB2312"/>
          <w:color w:val="000000"/>
          <w:sz w:val="32"/>
          <w:szCs w:val="32"/>
          <w:shd w:val="clear" w:color="auto" w:fill="FFFFFF"/>
          <w:lang w:val="en-US" w:eastAsia="zh-CN" w:bidi="ar-SA"/>
        </w:rPr>
        <w:t>水产养殖户要积极主动配合镇级部门开展水产养殖绿色生产方式推广工作，提供各类绿色养殖纸质证明材料等。</w:t>
      </w:r>
    </w:p>
    <w:p>
      <w:pPr>
        <w:keepNext w:val="0"/>
        <w:keepLines w:val="0"/>
        <w:pageBreakBefore w:val="0"/>
        <w:widowControl w:val="0"/>
        <w:kinsoku/>
        <w:wordWrap/>
        <w:overflowPunct/>
        <w:topLinePunct w:val="0"/>
        <w:autoSpaceDN/>
        <w:bidi w:val="0"/>
        <w:adjustRightInd/>
        <w:snapToGrid w:val="0"/>
        <w:spacing w:after="0" w:afterAutospacing="0"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、保障机制</w:t>
      </w:r>
    </w:p>
    <w:p>
      <w:pPr>
        <w:keepNext w:val="0"/>
        <w:keepLines w:val="0"/>
        <w:pageBreakBefore w:val="0"/>
        <w:widowControl w:val="0"/>
        <w:kinsoku/>
        <w:wordWrap/>
        <w:overflowPunct/>
        <w:topLinePunct w:val="0"/>
        <w:autoSpaceDN/>
        <w:bidi w:val="0"/>
        <w:adjustRightInd/>
        <w:snapToGrid w:val="0"/>
        <w:spacing w:after="0" w:afterAutospacing="0" w:line="560" w:lineRule="exact"/>
        <w:ind w:firstLine="640" w:firstLineChars="200"/>
        <w:textAlignment w:val="auto"/>
        <w:outlineLvl w:val="9"/>
        <w:rPr>
          <w:rFonts w:ascii="仿宋_GB2312" w:eastAsia="仿宋_GB2312" w:cs="仿宋_GB2312"/>
          <w:color w:val="000000"/>
          <w:sz w:val="32"/>
          <w:szCs w:val="32"/>
          <w:shd w:val="clear" w:color="auto" w:fill="FFFFFF"/>
        </w:rPr>
      </w:pPr>
      <w:r>
        <w:rPr>
          <w:rFonts w:hint="eastAsia" w:ascii="楷体_GB2312" w:hAnsi="楷体_GB2312" w:eastAsia="楷体_GB2312" w:cs="楷体_GB2312"/>
          <w:sz w:val="32"/>
          <w:szCs w:val="32"/>
        </w:rPr>
        <w:t>（一）加强组织领导。</w:t>
      </w:r>
      <w:r>
        <w:rPr>
          <w:rFonts w:hint="eastAsia" w:ascii="仿宋_GB2312" w:eastAsia="仿宋_GB2312"/>
          <w:sz w:val="32"/>
          <w:szCs w:val="32"/>
        </w:rPr>
        <w:t>各</w:t>
      </w:r>
      <w:r>
        <w:rPr>
          <w:rFonts w:hint="eastAsia" w:ascii="仿宋_GB2312" w:eastAsia="仿宋_GB2312" w:cs="仿宋_GB2312"/>
          <w:color w:val="000000"/>
          <w:sz w:val="32"/>
          <w:szCs w:val="32"/>
          <w:shd w:val="clear" w:color="auto" w:fill="FFFFFF"/>
          <w:lang w:eastAsia="zh-CN"/>
        </w:rPr>
        <w:t>村</w:t>
      </w:r>
      <w:r>
        <w:rPr>
          <w:rFonts w:hint="eastAsia" w:ascii="仿宋_GB2312" w:eastAsia="仿宋_GB2312" w:cs="仿宋_GB2312"/>
          <w:color w:val="000000"/>
          <w:sz w:val="32"/>
          <w:szCs w:val="32"/>
          <w:shd w:val="clear" w:color="auto" w:fill="FFFFFF"/>
        </w:rPr>
        <w:t>要从</w:t>
      </w:r>
      <w:r>
        <w:rPr>
          <w:rFonts w:hint="eastAsia" w:ascii="仿宋_GB2312" w:eastAsia="仿宋_GB2312" w:cs="仿宋_GB2312"/>
          <w:color w:val="000000"/>
          <w:sz w:val="32"/>
          <w:szCs w:val="32"/>
          <w:shd w:val="clear" w:color="auto" w:fill="FFFFFF"/>
          <w:lang w:eastAsia="zh-CN"/>
        </w:rPr>
        <w:t>竖新镇</w:t>
      </w:r>
      <w:r>
        <w:rPr>
          <w:rFonts w:hint="eastAsia" w:ascii="仿宋_GB2312" w:eastAsia="仿宋_GB2312" w:cs="仿宋_GB2312"/>
          <w:color w:val="000000"/>
          <w:sz w:val="32"/>
          <w:szCs w:val="32"/>
          <w:shd w:val="clear" w:color="auto" w:fill="FFFFFF"/>
        </w:rPr>
        <w:t>水产养殖业绿色、高质量发展的大局出发，切实加强组织领导，细化工作方案，将水产养殖业绿色发展纳入生态文明建设和乡村振兴战略目标评价内容，要采取有力举措确保今年的水产养殖绿色生产方式推广工作各项任务落到实处。</w:t>
      </w:r>
    </w:p>
    <w:p>
      <w:pPr>
        <w:keepNext w:val="0"/>
        <w:keepLines w:val="0"/>
        <w:pageBreakBefore w:val="0"/>
        <w:widowControl w:val="0"/>
        <w:kinsoku/>
        <w:wordWrap/>
        <w:overflowPunct/>
        <w:topLinePunct w:val="0"/>
        <w:autoSpaceDN/>
        <w:bidi w:val="0"/>
        <w:adjustRightInd/>
        <w:snapToGrid w:val="0"/>
        <w:spacing w:after="0" w:afterAutospacing="0" w:line="560" w:lineRule="exact"/>
        <w:ind w:firstLine="640" w:firstLineChars="200"/>
        <w:textAlignment w:val="auto"/>
        <w:outlineLvl w:val="9"/>
        <w:rPr>
          <w:rFonts w:ascii="仿宋_GB2312" w:eastAsia="仿宋_GB2312"/>
          <w:sz w:val="32"/>
          <w:szCs w:val="32"/>
        </w:rPr>
      </w:pPr>
      <w:r>
        <w:rPr>
          <w:rFonts w:hint="eastAsia" w:ascii="楷体_GB2312" w:hAnsi="楷体_GB2312" w:eastAsia="楷体_GB2312" w:cs="楷体_GB2312"/>
          <w:sz w:val="32"/>
          <w:szCs w:val="32"/>
        </w:rPr>
        <w:t>（二）加强宣传引导。</w:t>
      </w:r>
      <w:r>
        <w:rPr>
          <w:rFonts w:hint="eastAsia" w:ascii="仿宋_GB2312" w:eastAsia="仿宋_GB2312" w:cs="仿宋_GB2312"/>
          <w:color w:val="000000"/>
          <w:sz w:val="32"/>
          <w:szCs w:val="32"/>
          <w:shd w:val="clear" w:color="auto" w:fill="FFFFFF"/>
        </w:rPr>
        <w:t>各</w:t>
      </w:r>
      <w:r>
        <w:rPr>
          <w:rFonts w:hint="eastAsia" w:ascii="仿宋_GB2312" w:eastAsia="仿宋_GB2312" w:cs="仿宋_GB2312"/>
          <w:color w:val="000000"/>
          <w:sz w:val="32"/>
          <w:szCs w:val="32"/>
          <w:shd w:val="clear" w:color="auto" w:fill="FFFFFF"/>
          <w:lang w:eastAsia="zh-CN"/>
        </w:rPr>
        <w:t>村</w:t>
      </w:r>
      <w:r>
        <w:rPr>
          <w:rFonts w:hint="eastAsia" w:ascii="仿宋_GB2312" w:eastAsia="仿宋_GB2312" w:cs="仿宋_GB2312"/>
          <w:color w:val="000000"/>
          <w:sz w:val="32"/>
          <w:szCs w:val="32"/>
          <w:shd w:val="clear" w:color="auto" w:fill="FFFFFF"/>
        </w:rPr>
        <w:t>要加强水产养殖绿色生产方式的宣传力度，引导广大水产养殖</w:t>
      </w:r>
      <w:r>
        <w:rPr>
          <w:rFonts w:hint="eastAsia" w:ascii="仿宋_GB2312" w:eastAsia="仿宋_GB2312" w:cs="仿宋_GB2312"/>
          <w:color w:val="000000"/>
          <w:sz w:val="32"/>
          <w:szCs w:val="32"/>
          <w:shd w:val="clear" w:color="auto" w:fill="FFFFFF"/>
          <w:lang w:eastAsia="zh-CN"/>
        </w:rPr>
        <w:t>主体</w:t>
      </w:r>
      <w:r>
        <w:rPr>
          <w:rFonts w:hint="eastAsia" w:ascii="仿宋_GB2312" w:eastAsia="仿宋_GB2312" w:cs="仿宋_GB2312"/>
          <w:color w:val="000000"/>
          <w:sz w:val="32"/>
          <w:szCs w:val="32"/>
          <w:shd w:val="clear" w:color="auto" w:fill="FFFFFF"/>
        </w:rPr>
        <w:t>由传统养殖方式向绿色生产方式转变，实现资源节约、环境友好的水产养殖新</w:t>
      </w:r>
      <w:r>
        <w:rPr>
          <w:rFonts w:hint="eastAsia" w:ascii="仿宋_GB2312" w:eastAsia="仿宋_GB2312"/>
          <w:sz w:val="32"/>
          <w:szCs w:val="32"/>
        </w:rPr>
        <w:t>模式，促进本区水产养殖业可持续发展。</w:t>
      </w:r>
    </w:p>
    <w:p>
      <w:pPr>
        <w:keepNext w:val="0"/>
        <w:keepLines w:val="0"/>
        <w:pageBreakBefore w:val="0"/>
        <w:widowControl w:val="0"/>
        <w:kinsoku/>
        <w:wordWrap/>
        <w:overflowPunct/>
        <w:topLinePunct w:val="0"/>
        <w:autoSpaceDN/>
        <w:bidi w:val="0"/>
        <w:adjustRightInd/>
        <w:snapToGrid w:val="0"/>
        <w:spacing w:after="0" w:afterAutospacing="0" w:line="560" w:lineRule="exact"/>
        <w:ind w:firstLine="640" w:firstLineChars="200"/>
        <w:textAlignment w:val="auto"/>
        <w:outlineLvl w:val="9"/>
        <w:rPr>
          <w:rFonts w:ascii="仿宋_GB2312" w:hAnsi="Calibri" w:eastAsia="仿宋_GB2312" w:cs="仿宋_GB2312"/>
          <w:color w:val="000000"/>
          <w:sz w:val="32"/>
          <w:szCs w:val="32"/>
          <w:shd w:val="clear" w:color="auto" w:fill="FFFFFF"/>
        </w:rPr>
      </w:pPr>
      <w:r>
        <w:rPr>
          <w:rFonts w:hint="eastAsia" w:ascii="楷体_GB2312" w:hAnsi="楷体_GB2312" w:eastAsia="楷体_GB2312" w:cs="楷体_GB2312"/>
          <w:sz w:val="32"/>
          <w:szCs w:val="32"/>
        </w:rPr>
        <w:t>（三）加强督查考核。</w:t>
      </w:r>
      <w:r>
        <w:rPr>
          <w:rFonts w:hint="eastAsia" w:ascii="仿宋_GB2312" w:eastAsia="仿宋_GB2312"/>
          <w:sz w:val="32"/>
          <w:szCs w:val="32"/>
          <w:lang w:eastAsia="zh-CN"/>
        </w:rPr>
        <w:t>镇</w:t>
      </w:r>
      <w:r>
        <w:rPr>
          <w:rFonts w:hint="eastAsia" w:ascii="仿宋_GB2312" w:hAnsi="Calibri" w:eastAsia="仿宋_GB2312" w:cs="仿宋_GB2312"/>
          <w:color w:val="000000"/>
          <w:sz w:val="32"/>
          <w:szCs w:val="32"/>
          <w:shd w:val="clear" w:color="auto" w:fill="FFFFFF"/>
        </w:rPr>
        <w:t>农业农村</w:t>
      </w:r>
      <w:r>
        <w:rPr>
          <w:rFonts w:hint="eastAsia" w:ascii="仿宋_GB2312" w:hAnsi="Calibri" w:eastAsia="仿宋_GB2312" w:cs="仿宋_GB2312"/>
          <w:color w:val="000000"/>
          <w:sz w:val="32"/>
          <w:szCs w:val="32"/>
          <w:shd w:val="clear" w:color="auto" w:fill="FFFFFF"/>
          <w:lang w:eastAsia="zh-CN"/>
        </w:rPr>
        <w:t>办</w:t>
      </w:r>
      <w:r>
        <w:rPr>
          <w:rFonts w:hint="eastAsia" w:ascii="仿宋_GB2312" w:hAnsi="Calibri" w:eastAsia="仿宋_GB2312" w:cs="仿宋_GB2312"/>
          <w:color w:val="000000"/>
          <w:sz w:val="32"/>
          <w:szCs w:val="32"/>
          <w:shd w:val="clear" w:color="auto" w:fill="FFFFFF"/>
        </w:rPr>
        <w:t>联合相关部门，按照水产养殖绿色生产方式</w:t>
      </w:r>
      <w:r>
        <w:rPr>
          <w:rFonts w:hint="eastAsia" w:ascii="仿宋_GB2312" w:hAnsi="Calibri" w:eastAsia="仿宋_GB2312" w:cs="仿宋_GB2312"/>
          <w:color w:val="000000"/>
          <w:sz w:val="32"/>
          <w:szCs w:val="32"/>
          <w:shd w:val="clear" w:color="auto" w:fill="FFFFFF"/>
          <w:lang w:eastAsia="zh-CN"/>
        </w:rPr>
        <w:t>、</w:t>
      </w:r>
      <w:r>
        <w:rPr>
          <w:rFonts w:hint="eastAsia" w:ascii="仿宋_GB2312" w:hAnsi="Calibri" w:eastAsia="仿宋_GB2312" w:cs="仿宋_GB2312"/>
          <w:color w:val="000000"/>
          <w:sz w:val="32"/>
          <w:szCs w:val="32"/>
          <w:shd w:val="clear" w:color="auto" w:fill="FFFFFF"/>
        </w:rPr>
        <w:t>水产养殖尾水长效管理</w:t>
      </w:r>
      <w:r>
        <w:rPr>
          <w:rFonts w:hint="eastAsia" w:ascii="仿宋_GB2312" w:hAnsi="Calibri" w:eastAsia="仿宋_GB2312" w:cs="仿宋_GB2312"/>
          <w:color w:val="000000"/>
          <w:sz w:val="32"/>
          <w:szCs w:val="32"/>
          <w:shd w:val="clear" w:color="auto" w:fill="FFFFFF"/>
          <w:lang w:val="en-US" w:eastAsia="zh-CN"/>
        </w:rPr>
        <w:t>、水产稳产保供等相关工作</w:t>
      </w:r>
      <w:r>
        <w:rPr>
          <w:rFonts w:hint="eastAsia" w:ascii="仿宋_GB2312" w:hAnsi="Calibri" w:eastAsia="仿宋_GB2312" w:cs="仿宋_GB2312"/>
          <w:color w:val="000000"/>
          <w:sz w:val="32"/>
          <w:szCs w:val="32"/>
          <w:shd w:val="clear" w:color="auto" w:fill="FFFFFF"/>
        </w:rPr>
        <w:t>要求，对</w:t>
      </w:r>
      <w:r>
        <w:rPr>
          <w:rFonts w:hint="eastAsia" w:ascii="仿宋_GB2312" w:hAnsi="Calibri" w:eastAsia="仿宋_GB2312" w:cs="仿宋_GB2312"/>
          <w:color w:val="000000"/>
          <w:sz w:val="32"/>
          <w:szCs w:val="32"/>
          <w:shd w:val="clear" w:color="auto" w:fill="FFFFFF"/>
          <w:lang w:eastAsia="zh-CN"/>
        </w:rPr>
        <w:t>村</w:t>
      </w:r>
      <w:r>
        <w:rPr>
          <w:rFonts w:hint="eastAsia" w:ascii="仿宋_GB2312" w:hAnsi="Calibri" w:eastAsia="仿宋_GB2312" w:cs="仿宋_GB2312"/>
          <w:color w:val="000000"/>
          <w:sz w:val="32"/>
          <w:szCs w:val="32"/>
          <w:shd w:val="clear" w:color="auto" w:fill="FFFFFF"/>
        </w:rPr>
        <w:t>工作落实情况开展考核</w:t>
      </w:r>
      <w:r>
        <w:rPr>
          <w:rFonts w:hint="eastAsia" w:ascii="仿宋_GB2312" w:hAnsi="Calibri" w:eastAsia="仿宋_GB2312" w:cs="仿宋_GB2312"/>
          <w:color w:val="000000"/>
          <w:sz w:val="32"/>
          <w:szCs w:val="32"/>
          <w:shd w:val="clear" w:color="auto" w:fill="FFFFFF"/>
          <w:lang w:eastAsia="zh-CN"/>
        </w:rPr>
        <w:t>。</w:t>
      </w:r>
      <w:r>
        <w:rPr>
          <w:rFonts w:hint="eastAsia" w:ascii="仿宋_GB2312" w:hAnsi="Calibri" w:eastAsia="仿宋_GB2312" w:cs="仿宋_GB2312"/>
          <w:color w:val="000000"/>
          <w:sz w:val="32"/>
          <w:szCs w:val="32"/>
          <w:shd w:val="clear" w:color="auto" w:fill="FFFFFF"/>
          <w:lang w:val="en-US" w:eastAsia="zh-CN"/>
        </w:rPr>
        <w:t>考核</w:t>
      </w:r>
      <w:r>
        <w:rPr>
          <w:rFonts w:hint="eastAsia" w:ascii="仿宋_GB2312" w:hAnsi="Calibri" w:eastAsia="仿宋_GB2312" w:cs="仿宋_GB2312"/>
          <w:color w:val="000000"/>
          <w:sz w:val="32"/>
          <w:szCs w:val="32"/>
          <w:shd w:val="clear" w:color="auto" w:fill="FFFFFF"/>
        </w:rPr>
        <w:t>结果</w:t>
      </w:r>
      <w:r>
        <w:rPr>
          <w:rFonts w:hint="eastAsia" w:ascii="仿宋_GB2312" w:hAnsi="Calibri" w:eastAsia="仿宋_GB2312" w:cs="仿宋_GB2312"/>
          <w:color w:val="000000"/>
          <w:sz w:val="32"/>
          <w:szCs w:val="32"/>
          <w:shd w:val="clear" w:color="auto" w:fill="FFFFFF"/>
          <w:lang w:eastAsia="zh-CN"/>
        </w:rPr>
        <w:t>将</w:t>
      </w:r>
      <w:r>
        <w:rPr>
          <w:rFonts w:hint="eastAsia" w:ascii="仿宋_GB2312" w:hAnsi="Calibri" w:eastAsia="仿宋_GB2312" w:cs="仿宋_GB2312"/>
          <w:color w:val="000000"/>
          <w:sz w:val="32"/>
          <w:szCs w:val="32"/>
          <w:shd w:val="clear" w:color="auto" w:fill="FFFFFF"/>
        </w:rPr>
        <w:t>作为</w:t>
      </w:r>
      <w:r>
        <w:rPr>
          <w:rFonts w:hint="eastAsia" w:ascii="仿宋_GB2312" w:hAnsi="Calibri" w:eastAsia="仿宋_GB2312" w:cs="仿宋_GB2312"/>
          <w:color w:val="000000"/>
          <w:sz w:val="32"/>
          <w:szCs w:val="32"/>
          <w:shd w:val="clear" w:color="auto" w:fill="FFFFFF"/>
          <w:lang w:eastAsia="zh-CN"/>
        </w:rPr>
        <w:t>各村</w:t>
      </w:r>
      <w:r>
        <w:rPr>
          <w:rFonts w:hint="eastAsia" w:ascii="仿宋_GB2312" w:hAnsi="Calibri" w:eastAsia="仿宋_GB2312" w:cs="仿宋_GB2312"/>
          <w:color w:val="000000"/>
          <w:sz w:val="32"/>
          <w:szCs w:val="32"/>
          <w:shd w:val="clear" w:color="auto" w:fill="FFFFFF"/>
        </w:rPr>
        <w:t>年终考核</w:t>
      </w:r>
      <w:r>
        <w:rPr>
          <w:rFonts w:hint="eastAsia" w:ascii="仿宋_GB2312" w:hAnsi="Calibri" w:eastAsia="仿宋_GB2312" w:cs="仿宋_GB2312"/>
          <w:color w:val="000000"/>
          <w:sz w:val="32"/>
          <w:szCs w:val="32"/>
          <w:shd w:val="clear" w:color="auto" w:fill="FFFFFF"/>
          <w:lang w:val="en-US" w:eastAsia="zh-CN"/>
        </w:rPr>
        <w:t>的重要依据。</w:t>
      </w:r>
    </w:p>
    <w:p>
      <w:pPr>
        <w:keepNext w:val="0"/>
        <w:keepLines w:val="0"/>
        <w:pageBreakBefore w:val="0"/>
        <w:widowControl w:val="0"/>
        <w:kinsoku/>
        <w:wordWrap/>
        <w:overflowPunct/>
        <w:topLinePunct w:val="0"/>
        <w:autoSpaceDN/>
        <w:bidi w:val="0"/>
        <w:adjustRightInd/>
        <w:snapToGrid w:val="0"/>
        <w:spacing w:after="0" w:afterAutospacing="0" w:line="520" w:lineRule="exact"/>
        <w:jc w:val="left"/>
        <w:textAlignment w:val="auto"/>
        <w:outlineLvl w:val="9"/>
        <w:rPr>
          <w:rFonts w:hint="eastAsia" w:ascii="黑体" w:hAnsi="黑体" w:eastAsia="黑体" w:cs="黑体"/>
          <w:b w:val="0"/>
          <w:bCs w:val="0"/>
          <w:sz w:val="32"/>
          <w:szCs w:val="32"/>
          <w:lang w:val="en-US" w:eastAsia="zh-CN"/>
        </w:rPr>
        <w:sectPr>
          <w:pgSz w:w="11906" w:h="16838"/>
          <w:pgMar w:top="2098" w:right="1531" w:bottom="1984" w:left="1644" w:header="851" w:footer="992" w:gutter="0"/>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val="0"/>
        <w:spacing w:after="0" w:afterAutospacing="0" w:line="560" w:lineRule="exact"/>
        <w:ind w:right="0" w:rightChars="0" w:firstLine="640" w:firstLineChars="200"/>
        <w:jc w:val="left"/>
        <w:textAlignment w:val="auto"/>
        <w:outlineLvl w:val="9"/>
        <w:rPr>
          <w:rFonts w:hint="default" w:ascii="黑体" w:hAnsi="黑体" w:eastAsia="黑体" w:cs="黑体"/>
          <w:i w:val="0"/>
          <w:color w:val="000000"/>
          <w:w w:val="100"/>
          <w:kern w:val="0"/>
          <w:sz w:val="32"/>
          <w:szCs w:val="32"/>
          <w:u w:val="none"/>
          <w:lang w:val="en-US" w:eastAsia="zh-CN" w:bidi="ar"/>
        </w:rPr>
      </w:pPr>
      <w:r>
        <w:rPr>
          <w:rFonts w:hint="eastAsia" w:ascii="黑体" w:hAnsi="黑体" w:eastAsia="黑体" w:cs="黑体"/>
          <w:i w:val="0"/>
          <w:color w:val="000000"/>
          <w:w w:val="100"/>
          <w:kern w:val="0"/>
          <w:sz w:val="32"/>
          <w:szCs w:val="32"/>
          <w:u w:val="none"/>
          <w:lang w:val="en-US" w:eastAsia="zh-CN" w:bidi="ar"/>
        </w:rPr>
        <w:t>附件1</w:t>
      </w:r>
    </w:p>
    <w:p>
      <w:pPr>
        <w:pStyle w:val="2"/>
        <w:keepNext w:val="0"/>
        <w:keepLines w:val="0"/>
        <w:pageBreakBefore w:val="0"/>
        <w:widowControl w:val="0"/>
        <w:kinsoku/>
        <w:wordWrap/>
        <w:overflowPunct/>
        <w:topLinePunct w:val="0"/>
        <w:autoSpaceDE/>
        <w:autoSpaceDN/>
        <w:bidi w:val="0"/>
        <w:adjustRightInd/>
        <w:snapToGrid w:val="0"/>
        <w:spacing w:after="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olor w:val="000000"/>
          <w:w w:val="100"/>
          <w:kern w:val="0"/>
          <w:sz w:val="44"/>
          <w:szCs w:val="44"/>
          <w:u w:val="none"/>
          <w:lang w:val="en-US" w:eastAsia="zh-CN" w:bidi="ar"/>
        </w:rPr>
      </w:pPr>
      <w:r>
        <w:rPr>
          <w:rFonts w:hint="eastAsia" w:ascii="方正小标宋简体" w:hAnsi="方正小标宋简体" w:eastAsia="方正小标宋简体" w:cs="方正小标宋简体"/>
          <w:i w:val="0"/>
          <w:color w:val="000000"/>
          <w:w w:val="100"/>
          <w:kern w:val="0"/>
          <w:sz w:val="44"/>
          <w:szCs w:val="44"/>
          <w:u w:val="none"/>
          <w:lang w:val="en-US" w:eastAsia="zh-CN" w:bidi="ar"/>
        </w:rPr>
        <w:t>上海市水产养殖绿色生产考核表</w:t>
      </w:r>
    </w:p>
    <w:tbl>
      <w:tblPr>
        <w:tblStyle w:val="9"/>
        <w:tblpPr w:leftFromText="180" w:rightFromText="180" w:vertAnchor="text" w:horzAnchor="page" w:tblpXSpec="center" w:tblpY="802"/>
        <w:tblOverlap w:val="never"/>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
        <w:gridCol w:w="1335"/>
        <w:gridCol w:w="840"/>
        <w:gridCol w:w="270"/>
        <w:gridCol w:w="900"/>
        <w:gridCol w:w="330"/>
        <w:gridCol w:w="645"/>
        <w:gridCol w:w="945"/>
        <w:gridCol w:w="915"/>
        <w:gridCol w:w="825"/>
        <w:gridCol w:w="720"/>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885" w:type="dxa"/>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仿宋_GB2312" w:hAnsi="仿宋_GB2312" w:eastAsia="仿宋_GB2312" w:cs="仿宋_GB2312"/>
                <w:b/>
                <w:bCs w:val="0"/>
                <w:i w:val="0"/>
                <w:color w:val="000000"/>
                <w:kern w:val="0"/>
                <w:sz w:val="28"/>
                <w:szCs w:val="28"/>
                <w:u w:val="none"/>
                <w:lang w:val="en-US" w:eastAsia="zh-CN" w:bidi="ar"/>
              </w:rPr>
            </w:pPr>
            <w:r>
              <w:rPr>
                <w:rFonts w:hint="eastAsia" w:ascii="仿宋_GB2312" w:hAnsi="仿宋_GB2312" w:eastAsia="仿宋_GB2312" w:cs="仿宋_GB2312"/>
                <w:b/>
                <w:bCs w:val="0"/>
                <w:i w:val="0"/>
                <w:color w:val="000000"/>
                <w:kern w:val="0"/>
                <w:sz w:val="28"/>
                <w:szCs w:val="28"/>
                <w:u w:val="none"/>
                <w:lang w:val="en-US" w:eastAsia="zh-CN" w:bidi="ar"/>
              </w:rPr>
              <w:t>养殖场</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仿宋_GB2312" w:hAnsi="仿宋_GB2312" w:eastAsia="仿宋_GB2312" w:cs="仿宋_GB2312"/>
                <w:b/>
                <w:bCs w:val="0"/>
                <w:i w:val="0"/>
                <w:color w:val="000000"/>
                <w:kern w:val="0"/>
                <w:sz w:val="28"/>
                <w:szCs w:val="28"/>
                <w:u w:val="none"/>
                <w:lang w:val="en-US" w:eastAsia="zh-CN" w:bidi="ar"/>
              </w:rPr>
            </w:pPr>
            <w:r>
              <w:rPr>
                <w:rFonts w:hint="eastAsia" w:ascii="仿宋_GB2312" w:hAnsi="仿宋_GB2312" w:eastAsia="仿宋_GB2312" w:cs="仿宋_GB2312"/>
                <w:b/>
                <w:bCs w:val="0"/>
                <w:i w:val="0"/>
                <w:color w:val="000000"/>
                <w:kern w:val="0"/>
                <w:sz w:val="28"/>
                <w:szCs w:val="28"/>
                <w:u w:val="none"/>
                <w:lang w:val="en-US" w:eastAsia="zh-CN" w:bidi="ar"/>
              </w:rPr>
              <w:t>名称</w:t>
            </w:r>
          </w:p>
        </w:tc>
        <w:tc>
          <w:tcPr>
            <w:tcW w:w="2445"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仿宋_GB2312" w:hAnsi="仿宋_GB2312" w:eastAsia="仿宋_GB2312" w:cs="仿宋_GB2312"/>
                <w:b/>
                <w:bCs w:val="0"/>
                <w:i w:val="0"/>
                <w:color w:val="000000"/>
                <w:kern w:val="0"/>
                <w:sz w:val="28"/>
                <w:szCs w:val="28"/>
                <w:u w:val="none"/>
                <w:lang w:val="en-US" w:eastAsia="zh-CN" w:bidi="ar"/>
              </w:rPr>
            </w:pPr>
          </w:p>
        </w:tc>
        <w:tc>
          <w:tcPr>
            <w:tcW w:w="123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仿宋_GB2312" w:hAnsi="仿宋_GB2312" w:eastAsia="仿宋_GB2312" w:cs="仿宋_GB2312"/>
                <w:b/>
                <w:bCs w:val="0"/>
                <w:i w:val="0"/>
                <w:color w:val="000000"/>
                <w:kern w:val="0"/>
                <w:sz w:val="28"/>
                <w:szCs w:val="28"/>
                <w:u w:val="none"/>
                <w:lang w:val="en-US" w:eastAsia="zh-CN" w:bidi="ar"/>
              </w:rPr>
            </w:pPr>
            <w:r>
              <w:rPr>
                <w:rFonts w:hint="eastAsia" w:ascii="仿宋_GB2312" w:hAnsi="仿宋_GB2312" w:eastAsia="仿宋_GB2312" w:cs="仿宋_GB2312"/>
                <w:b/>
                <w:bCs w:val="0"/>
                <w:i w:val="0"/>
                <w:color w:val="000000"/>
                <w:kern w:val="0"/>
                <w:sz w:val="28"/>
                <w:szCs w:val="28"/>
                <w:u w:val="none"/>
                <w:lang w:val="en-US" w:eastAsia="zh-CN" w:bidi="ar"/>
              </w:rPr>
              <w:t>养殖户</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仿宋_GB2312" w:hAnsi="仿宋_GB2312" w:eastAsia="仿宋_GB2312" w:cs="仿宋_GB2312"/>
                <w:b/>
                <w:bCs w:val="0"/>
                <w:i w:val="0"/>
                <w:color w:val="000000"/>
                <w:kern w:val="0"/>
                <w:sz w:val="28"/>
                <w:szCs w:val="28"/>
                <w:u w:val="none"/>
                <w:lang w:val="en-US" w:eastAsia="zh-CN" w:bidi="ar"/>
              </w:rPr>
            </w:pPr>
            <w:r>
              <w:rPr>
                <w:rFonts w:hint="eastAsia" w:ascii="仿宋_GB2312" w:hAnsi="仿宋_GB2312" w:eastAsia="仿宋_GB2312" w:cs="仿宋_GB2312"/>
                <w:b/>
                <w:bCs w:val="0"/>
                <w:i w:val="0"/>
                <w:color w:val="000000"/>
                <w:kern w:val="0"/>
                <w:sz w:val="28"/>
                <w:szCs w:val="28"/>
                <w:u w:val="none"/>
                <w:lang w:val="en-US" w:eastAsia="zh-CN" w:bidi="ar"/>
              </w:rPr>
              <w:t>姓名</w:t>
            </w:r>
          </w:p>
        </w:tc>
        <w:tc>
          <w:tcPr>
            <w:tcW w:w="159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仿宋_GB2312" w:hAnsi="仿宋_GB2312" w:eastAsia="仿宋_GB2312" w:cs="仿宋_GB2312"/>
                <w:b/>
                <w:bCs w:val="0"/>
                <w:i w:val="0"/>
                <w:color w:val="000000"/>
                <w:kern w:val="0"/>
                <w:sz w:val="28"/>
                <w:szCs w:val="28"/>
                <w:u w:val="none"/>
                <w:lang w:val="en-US" w:eastAsia="zh-CN" w:bidi="ar"/>
              </w:rPr>
            </w:pPr>
          </w:p>
        </w:tc>
        <w:tc>
          <w:tcPr>
            <w:tcW w:w="17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仿宋_GB2312" w:hAnsi="仿宋_GB2312" w:eastAsia="仿宋_GB2312" w:cs="仿宋_GB2312"/>
                <w:b/>
                <w:bCs w:val="0"/>
                <w:i w:val="0"/>
                <w:color w:val="000000"/>
                <w:kern w:val="0"/>
                <w:sz w:val="28"/>
                <w:szCs w:val="28"/>
                <w:u w:val="none"/>
                <w:lang w:val="en-US" w:eastAsia="zh-CN" w:bidi="ar"/>
              </w:rPr>
            </w:pPr>
            <w:r>
              <w:rPr>
                <w:rFonts w:hint="eastAsia" w:ascii="仿宋_GB2312" w:hAnsi="仿宋_GB2312" w:eastAsia="仿宋_GB2312" w:cs="仿宋_GB2312"/>
                <w:b/>
                <w:bCs w:val="0"/>
                <w:i w:val="0"/>
                <w:color w:val="000000"/>
                <w:kern w:val="0"/>
                <w:sz w:val="28"/>
                <w:szCs w:val="28"/>
                <w:u w:val="none"/>
                <w:lang w:val="en-US" w:eastAsia="zh-CN" w:bidi="ar"/>
              </w:rPr>
              <w:t>联系电话</w:t>
            </w:r>
          </w:p>
        </w:tc>
        <w:tc>
          <w:tcPr>
            <w:tcW w:w="1320" w:type="dxa"/>
            <w:gridSpan w:val="2"/>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9210" w:type="dxa"/>
            <w:gridSpan w:val="12"/>
            <w:vAlign w:val="center"/>
          </w:tcPr>
          <w:p>
            <w:pPr>
              <w:jc w:val="center"/>
              <w:rPr>
                <w:rFonts w:hint="eastAsia" w:hAnsi="宋体"/>
                <w:color w:val="auto"/>
                <w:sz w:val="24"/>
                <w:lang w:val="en-US" w:eastAsia="zh-CN"/>
              </w:rPr>
            </w:pPr>
            <w:r>
              <w:rPr>
                <w:rFonts w:eastAsia="黑体"/>
                <w:bCs/>
                <w:color w:val="auto"/>
                <w:sz w:val="24"/>
              </w:rPr>
              <w:t>评分项</w:t>
            </w:r>
            <w:r>
              <w:rPr>
                <w:rFonts w:hint="eastAsia" w:eastAsia="黑体"/>
                <w:bCs/>
                <w:color w:val="auto"/>
                <w:sz w:val="24"/>
              </w:rPr>
              <w:t>（</w:t>
            </w:r>
            <w:r>
              <w:rPr>
                <w:rFonts w:hint="eastAsia" w:eastAsia="黑体"/>
                <w:bCs/>
                <w:color w:val="auto"/>
                <w:sz w:val="24"/>
                <w:lang w:val="en-US" w:eastAsia="zh-CN"/>
              </w:rPr>
              <w:t>20</w:t>
            </w:r>
            <w:r>
              <w:rPr>
                <w:rFonts w:hint="eastAsia" w:eastAsia="黑体"/>
                <w:bCs/>
                <w:color w:val="auto"/>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5" w:type="dxa"/>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仿宋_GB2312" w:hAnsi="仿宋_GB2312" w:eastAsia="仿宋_GB2312" w:cs="仿宋_GB2312"/>
                <w:b/>
                <w:bCs w:val="0"/>
                <w:i w:val="0"/>
                <w:color w:val="000000"/>
                <w:kern w:val="0"/>
                <w:sz w:val="28"/>
                <w:szCs w:val="28"/>
                <w:u w:val="none"/>
                <w:lang w:val="en-US" w:eastAsia="zh-CN" w:bidi="ar"/>
              </w:rPr>
            </w:pPr>
            <w:r>
              <w:rPr>
                <w:rFonts w:hint="eastAsia" w:ascii="仿宋_GB2312" w:hAnsi="仿宋_GB2312" w:eastAsia="仿宋_GB2312" w:cs="仿宋_GB2312"/>
                <w:b/>
                <w:bCs w:val="0"/>
                <w:i w:val="0"/>
                <w:color w:val="000000"/>
                <w:kern w:val="0"/>
                <w:sz w:val="28"/>
                <w:szCs w:val="28"/>
                <w:u w:val="none"/>
                <w:lang w:val="en-US" w:eastAsia="zh-CN" w:bidi="ar"/>
              </w:rPr>
              <w:t>考核</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仿宋_GB2312" w:hAnsi="仿宋_GB2312" w:eastAsia="仿宋_GB2312" w:cs="仿宋_GB2312"/>
                <w:b/>
                <w:bCs w:val="0"/>
                <w:i w:val="0"/>
                <w:color w:val="000000"/>
                <w:kern w:val="0"/>
                <w:sz w:val="28"/>
                <w:szCs w:val="28"/>
                <w:u w:val="none"/>
                <w:lang w:val="en-US" w:eastAsia="zh-CN" w:bidi="ar"/>
              </w:rPr>
            </w:pPr>
            <w:r>
              <w:rPr>
                <w:rFonts w:hint="eastAsia" w:ascii="仿宋_GB2312" w:hAnsi="仿宋_GB2312" w:eastAsia="仿宋_GB2312" w:cs="仿宋_GB2312"/>
                <w:b/>
                <w:bCs w:val="0"/>
                <w:i w:val="0"/>
                <w:color w:val="000000"/>
                <w:kern w:val="0"/>
                <w:sz w:val="28"/>
                <w:szCs w:val="28"/>
                <w:u w:val="none"/>
                <w:lang w:val="en-US" w:eastAsia="zh-CN" w:bidi="ar"/>
              </w:rPr>
              <w:t>体系</w:t>
            </w:r>
          </w:p>
        </w:tc>
        <w:tc>
          <w:tcPr>
            <w:tcW w:w="7005" w:type="dxa"/>
            <w:gridSpan w:val="9"/>
            <w:vAlign w:val="center"/>
          </w:tcPr>
          <w:p>
            <w:pPr>
              <w:jc w:val="center"/>
              <w:rPr>
                <w:rFonts w:eastAsia="黑体"/>
                <w:bCs/>
                <w:color w:val="auto"/>
                <w:sz w:val="24"/>
              </w:rPr>
            </w:pPr>
            <w:r>
              <w:rPr>
                <w:rFonts w:eastAsia="黑体"/>
                <w:bCs/>
                <w:color w:val="auto"/>
                <w:sz w:val="24"/>
              </w:rPr>
              <w:t>具体考核项目</w:t>
            </w:r>
          </w:p>
        </w:tc>
        <w:tc>
          <w:tcPr>
            <w:tcW w:w="720" w:type="dxa"/>
            <w:vAlign w:val="center"/>
          </w:tcPr>
          <w:p>
            <w:pPr>
              <w:jc w:val="center"/>
              <w:rPr>
                <w:rFonts w:eastAsia="黑体"/>
                <w:bCs/>
                <w:color w:val="auto"/>
                <w:sz w:val="24"/>
              </w:rPr>
            </w:pPr>
            <w:r>
              <w:rPr>
                <w:rFonts w:eastAsia="黑体"/>
                <w:bCs/>
                <w:color w:val="auto"/>
                <w:sz w:val="24"/>
              </w:rPr>
              <w:t>分</w:t>
            </w:r>
          </w:p>
          <w:p>
            <w:pPr>
              <w:jc w:val="center"/>
              <w:rPr>
                <w:color w:val="auto"/>
                <w:vertAlign w:val="baseline"/>
              </w:rPr>
            </w:pPr>
            <w:r>
              <w:rPr>
                <w:rFonts w:eastAsia="黑体"/>
                <w:bCs/>
                <w:color w:val="auto"/>
                <w:sz w:val="24"/>
              </w:rPr>
              <w:t>值</w:t>
            </w:r>
          </w:p>
        </w:tc>
        <w:tc>
          <w:tcPr>
            <w:tcW w:w="600" w:type="dxa"/>
            <w:vAlign w:val="center"/>
          </w:tcPr>
          <w:p>
            <w:pPr>
              <w:jc w:val="center"/>
              <w:rPr>
                <w:rFonts w:eastAsia="黑体"/>
                <w:bCs/>
                <w:color w:val="auto"/>
                <w:sz w:val="24"/>
              </w:rPr>
            </w:pPr>
            <w:r>
              <w:rPr>
                <w:rFonts w:eastAsia="黑体"/>
                <w:bCs/>
                <w:color w:val="auto"/>
                <w:sz w:val="24"/>
              </w:rPr>
              <w:t>得</w:t>
            </w:r>
          </w:p>
          <w:p>
            <w:pPr>
              <w:jc w:val="center"/>
              <w:rPr>
                <w:color w:val="auto"/>
                <w:vertAlign w:val="baseline"/>
              </w:rPr>
            </w:pPr>
            <w:r>
              <w:rPr>
                <w:rFonts w:eastAsia="黑体"/>
                <w:bCs/>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885" w:type="dxa"/>
            <w:vMerge w:val="restart"/>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仿宋_GB2312" w:hAnsi="仿宋_GB2312" w:eastAsia="仿宋_GB2312" w:cs="仿宋_GB2312"/>
                <w:b/>
                <w:bCs w:val="0"/>
                <w:i w:val="0"/>
                <w:color w:val="000000"/>
                <w:kern w:val="0"/>
                <w:sz w:val="28"/>
                <w:szCs w:val="28"/>
                <w:u w:val="none"/>
                <w:lang w:val="en-US" w:eastAsia="zh-CN" w:bidi="ar"/>
              </w:rPr>
            </w:pPr>
            <w:r>
              <w:rPr>
                <w:rFonts w:hint="eastAsia" w:ascii="仿宋_GB2312" w:hAnsi="仿宋_GB2312" w:eastAsia="仿宋_GB2312" w:cs="仿宋_GB2312"/>
                <w:b/>
                <w:bCs w:val="0"/>
                <w:i w:val="0"/>
                <w:color w:val="000000"/>
                <w:kern w:val="0"/>
                <w:sz w:val="28"/>
                <w:szCs w:val="28"/>
                <w:u w:val="none"/>
                <w:lang w:val="en-US" w:eastAsia="zh-CN" w:bidi="ar"/>
              </w:rPr>
              <w:t>一、硬件条件要求</w:t>
            </w:r>
          </w:p>
        </w:tc>
        <w:tc>
          <w:tcPr>
            <w:tcW w:w="7005" w:type="dxa"/>
            <w:gridSpan w:val="9"/>
            <w:vAlign w:val="center"/>
          </w:tcPr>
          <w:p>
            <w:pPr>
              <w:snapToGrid w:val="0"/>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生产选址符合要求1分，</w:t>
            </w:r>
            <w:r>
              <w:rPr>
                <w:rFonts w:hint="eastAsia" w:ascii="仿宋" w:hAnsi="仿宋" w:eastAsia="仿宋" w:cs="仿宋"/>
                <w:color w:val="auto"/>
                <w:sz w:val="28"/>
                <w:szCs w:val="28"/>
              </w:rPr>
              <w:t>养殖区域内部规划布局合理</w:t>
            </w:r>
            <w:r>
              <w:rPr>
                <w:rFonts w:hint="eastAsia" w:ascii="仿宋" w:hAnsi="仿宋" w:eastAsia="仿宋" w:cs="仿宋"/>
                <w:color w:val="auto"/>
                <w:sz w:val="28"/>
                <w:szCs w:val="28"/>
                <w:lang w:val="en-US" w:eastAsia="zh-CN"/>
              </w:rPr>
              <w:t>2分</w:t>
            </w:r>
            <w:r>
              <w:rPr>
                <w:rFonts w:hint="eastAsia" w:ascii="仿宋" w:hAnsi="仿宋" w:eastAsia="仿宋" w:cs="仿宋"/>
                <w:color w:val="auto"/>
                <w:sz w:val="28"/>
                <w:szCs w:val="28"/>
              </w:rPr>
              <w:t>。</w:t>
            </w:r>
          </w:p>
        </w:tc>
        <w:tc>
          <w:tcPr>
            <w:tcW w:w="720" w:type="dxa"/>
            <w:vAlign w:val="center"/>
          </w:tcPr>
          <w:p>
            <w:pPr>
              <w:jc w:val="center"/>
              <w:rPr>
                <w:bCs/>
                <w:color w:val="auto"/>
                <w:vertAlign w:val="baseline"/>
              </w:rPr>
            </w:pPr>
            <w:r>
              <w:rPr>
                <w:rFonts w:hint="eastAsia"/>
                <w:b w:val="0"/>
                <w:bCs/>
                <w:color w:val="auto"/>
                <w:sz w:val="24"/>
                <w:lang w:val="en-US" w:eastAsia="zh-CN"/>
              </w:rPr>
              <w:t>3</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885" w:type="dxa"/>
            <w:vMerge w:val="continue"/>
            <w:textDirection w:val="tbRlV"/>
            <w:vAlign w:val="center"/>
          </w:tcPr>
          <w:p>
            <w:pPr>
              <w:snapToGrid w:val="0"/>
              <w:ind w:left="113" w:leftChars="0" w:right="113" w:rightChars="0"/>
              <w:jc w:val="center"/>
              <w:rPr>
                <w:rFonts w:eastAsia="黑体"/>
                <w:color w:val="auto"/>
                <w:sz w:val="24"/>
              </w:rPr>
            </w:pPr>
          </w:p>
        </w:tc>
        <w:tc>
          <w:tcPr>
            <w:tcW w:w="7005" w:type="dxa"/>
            <w:gridSpan w:val="9"/>
            <w:vAlign w:val="center"/>
          </w:tcPr>
          <w:p>
            <w:pPr>
              <w:snapToGrid w:val="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进水排水系统分设且无明显毁损</w:t>
            </w:r>
            <w:r>
              <w:rPr>
                <w:rFonts w:hint="eastAsia" w:ascii="仿宋" w:hAnsi="仿宋" w:eastAsia="仿宋" w:cs="仿宋"/>
                <w:color w:val="auto"/>
                <w:sz w:val="28"/>
                <w:szCs w:val="28"/>
                <w:lang w:val="en-US" w:eastAsia="zh-CN"/>
              </w:rPr>
              <w:t>3分</w:t>
            </w:r>
            <w:r>
              <w:rPr>
                <w:rFonts w:hint="eastAsia" w:ascii="仿宋" w:hAnsi="仿宋" w:eastAsia="仿宋" w:cs="仿宋"/>
                <w:color w:val="auto"/>
                <w:sz w:val="28"/>
                <w:szCs w:val="28"/>
              </w:rPr>
              <w:t>，进水口与排水口相距200米以上</w:t>
            </w:r>
            <w:r>
              <w:rPr>
                <w:rFonts w:hint="eastAsia" w:ascii="仿宋" w:hAnsi="仿宋" w:eastAsia="仿宋" w:cs="仿宋"/>
                <w:color w:val="auto"/>
                <w:sz w:val="28"/>
                <w:szCs w:val="28"/>
                <w:lang w:val="en-US" w:eastAsia="zh-CN"/>
              </w:rPr>
              <w:t>2分。</w:t>
            </w:r>
          </w:p>
        </w:tc>
        <w:tc>
          <w:tcPr>
            <w:tcW w:w="720" w:type="dxa"/>
            <w:vAlign w:val="center"/>
          </w:tcPr>
          <w:p>
            <w:pPr>
              <w:jc w:val="center"/>
              <w:rPr>
                <w:rFonts w:hint="eastAsia" w:eastAsia="宋体"/>
                <w:b w:val="0"/>
                <w:bCs/>
                <w:color w:val="auto"/>
                <w:sz w:val="24"/>
                <w:lang w:val="en-US" w:eastAsia="zh-CN"/>
              </w:rPr>
            </w:pPr>
            <w:r>
              <w:rPr>
                <w:rFonts w:hint="eastAsia"/>
                <w:b w:val="0"/>
                <w:bCs/>
                <w:color w:val="auto"/>
                <w:sz w:val="24"/>
                <w:lang w:val="en-US" w:eastAsia="zh-CN"/>
              </w:rPr>
              <w:t>5</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5" w:type="dxa"/>
            <w:vMerge w:val="continue"/>
            <w:vAlign w:val="top"/>
          </w:tcPr>
          <w:p>
            <w:pPr>
              <w:rPr>
                <w:color w:val="auto"/>
                <w:vertAlign w:val="baseline"/>
              </w:rPr>
            </w:pPr>
          </w:p>
        </w:tc>
        <w:tc>
          <w:tcPr>
            <w:tcW w:w="7005" w:type="dxa"/>
            <w:gridSpan w:val="9"/>
            <w:vAlign w:val="center"/>
          </w:tcPr>
          <w:p>
            <w:pPr>
              <w:snapToGrid w:val="0"/>
              <w:rPr>
                <w:rFonts w:hint="eastAsia" w:ascii="仿宋" w:hAnsi="仿宋" w:eastAsia="仿宋" w:cs="仿宋"/>
                <w:color w:val="auto"/>
                <w:sz w:val="28"/>
                <w:szCs w:val="28"/>
                <w:vertAlign w:val="baseline"/>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养殖池塘或车间密度适宜</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苗种生产单位亲本保存、育苗和苗种培育设施标识标记合理</w:t>
            </w:r>
            <w:r>
              <w:rPr>
                <w:rFonts w:hint="eastAsia" w:ascii="仿宋" w:hAnsi="仿宋" w:eastAsia="仿宋" w:cs="仿宋"/>
                <w:color w:val="auto"/>
                <w:sz w:val="28"/>
                <w:szCs w:val="28"/>
                <w:lang w:val="en-US" w:eastAsia="zh-CN"/>
              </w:rPr>
              <w:t>3分</w:t>
            </w:r>
            <w:r>
              <w:rPr>
                <w:rFonts w:hint="eastAsia" w:ascii="仿宋" w:hAnsi="仿宋" w:eastAsia="仿宋" w:cs="仿宋"/>
                <w:color w:val="auto"/>
                <w:sz w:val="28"/>
                <w:szCs w:val="28"/>
                <w:lang w:eastAsia="zh-CN"/>
              </w:rPr>
              <w:t>。开展外来物种养殖的，应配备防逃逸防杂交设施</w:t>
            </w:r>
            <w:r>
              <w:rPr>
                <w:rFonts w:hint="eastAsia" w:ascii="仿宋" w:hAnsi="仿宋" w:eastAsia="仿宋" w:cs="仿宋"/>
                <w:color w:val="auto"/>
                <w:sz w:val="28"/>
                <w:szCs w:val="28"/>
                <w:lang w:val="en-US" w:eastAsia="zh-CN"/>
              </w:rPr>
              <w:t>3分</w:t>
            </w:r>
            <w:r>
              <w:rPr>
                <w:rFonts w:hint="eastAsia" w:ascii="仿宋" w:hAnsi="仿宋" w:eastAsia="仿宋" w:cs="仿宋"/>
                <w:color w:val="auto"/>
                <w:sz w:val="28"/>
                <w:szCs w:val="28"/>
                <w:lang w:eastAsia="zh-CN"/>
              </w:rPr>
              <w:t>。</w:t>
            </w:r>
          </w:p>
        </w:tc>
        <w:tc>
          <w:tcPr>
            <w:tcW w:w="720" w:type="dxa"/>
            <w:vAlign w:val="center"/>
          </w:tcPr>
          <w:p>
            <w:pPr>
              <w:jc w:val="center"/>
              <w:rPr>
                <w:rFonts w:hint="eastAsia"/>
                <w:b w:val="0"/>
                <w:bCs/>
                <w:color w:val="auto"/>
                <w:sz w:val="24"/>
                <w:lang w:val="en-US" w:eastAsia="zh-CN"/>
              </w:rPr>
            </w:pPr>
            <w:r>
              <w:rPr>
                <w:rFonts w:hint="eastAsia"/>
                <w:b w:val="0"/>
                <w:bCs/>
                <w:color w:val="auto"/>
                <w:sz w:val="24"/>
                <w:lang w:val="en-US" w:eastAsia="zh-CN"/>
              </w:rPr>
              <w:t>6</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5" w:type="dxa"/>
            <w:vMerge w:val="continue"/>
            <w:vAlign w:val="top"/>
          </w:tcPr>
          <w:p>
            <w:pPr>
              <w:rPr>
                <w:color w:val="auto"/>
                <w:vertAlign w:val="baseline"/>
              </w:rPr>
            </w:pPr>
          </w:p>
        </w:tc>
        <w:tc>
          <w:tcPr>
            <w:tcW w:w="7005" w:type="dxa"/>
            <w:gridSpan w:val="9"/>
            <w:vAlign w:val="center"/>
          </w:tcPr>
          <w:p>
            <w:pPr>
              <w:snapToGrid w:val="0"/>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lang w:eastAsia="zh-CN"/>
              </w:rPr>
              <w:t>配备</w:t>
            </w:r>
            <w:r>
              <w:rPr>
                <w:rFonts w:hint="eastAsia" w:ascii="仿宋" w:hAnsi="仿宋" w:eastAsia="仿宋" w:cs="仿宋"/>
                <w:bCs/>
                <w:color w:val="auto"/>
                <w:sz w:val="28"/>
                <w:szCs w:val="28"/>
              </w:rPr>
              <w:t>独</w:t>
            </w:r>
            <w:r>
              <w:rPr>
                <w:rFonts w:hint="eastAsia" w:ascii="仿宋" w:hAnsi="仿宋" w:eastAsia="仿宋" w:cs="仿宋"/>
                <w:bCs/>
                <w:color w:val="auto"/>
                <w:sz w:val="28"/>
                <w:szCs w:val="28"/>
                <w:lang w:eastAsia="zh-CN"/>
              </w:rPr>
              <w:t>立</w:t>
            </w:r>
            <w:r>
              <w:rPr>
                <w:rFonts w:hint="eastAsia" w:ascii="仿宋" w:hAnsi="仿宋" w:eastAsia="仿宋" w:cs="仿宋"/>
                <w:bCs/>
                <w:color w:val="auto"/>
                <w:sz w:val="28"/>
                <w:szCs w:val="28"/>
              </w:rPr>
              <w:t>饲料</w:t>
            </w:r>
            <w:r>
              <w:rPr>
                <w:rFonts w:hint="eastAsia" w:ascii="仿宋" w:hAnsi="仿宋" w:eastAsia="仿宋" w:cs="仿宋"/>
                <w:bCs/>
                <w:color w:val="auto"/>
                <w:sz w:val="28"/>
                <w:szCs w:val="28"/>
                <w:lang w:eastAsia="zh-CN"/>
              </w:rPr>
              <w:t>、药品存放空间</w:t>
            </w:r>
            <w:r>
              <w:rPr>
                <w:rFonts w:hint="eastAsia" w:ascii="仿宋" w:hAnsi="仿宋" w:eastAsia="仿宋" w:cs="仿宋"/>
                <w:bCs/>
                <w:color w:val="auto"/>
                <w:sz w:val="28"/>
                <w:szCs w:val="28"/>
                <w:lang w:val="en-US" w:eastAsia="zh-CN"/>
              </w:rPr>
              <w:t>2分</w:t>
            </w:r>
            <w:r>
              <w:rPr>
                <w:rFonts w:hint="eastAsia" w:ascii="仿宋" w:hAnsi="仿宋" w:eastAsia="仿宋" w:cs="仿宋"/>
                <w:bCs/>
                <w:color w:val="auto"/>
                <w:sz w:val="28"/>
                <w:szCs w:val="28"/>
                <w:lang w:eastAsia="zh-CN"/>
              </w:rPr>
              <w:t>，并保持阴凉干燥、通风透气</w:t>
            </w:r>
            <w:r>
              <w:rPr>
                <w:rFonts w:hint="eastAsia" w:ascii="仿宋" w:hAnsi="仿宋" w:eastAsia="仿宋" w:cs="仿宋"/>
                <w:bCs/>
                <w:color w:val="auto"/>
                <w:sz w:val="28"/>
                <w:szCs w:val="28"/>
                <w:lang w:val="en-US" w:eastAsia="zh-CN"/>
              </w:rPr>
              <w:t>2分</w:t>
            </w:r>
            <w:r>
              <w:rPr>
                <w:rFonts w:hint="eastAsia" w:ascii="仿宋" w:hAnsi="仿宋" w:eastAsia="仿宋" w:cs="仿宋"/>
                <w:bCs/>
                <w:color w:val="auto"/>
                <w:sz w:val="28"/>
                <w:szCs w:val="28"/>
                <w:lang w:eastAsia="zh-CN"/>
              </w:rPr>
              <w:t>。</w:t>
            </w:r>
          </w:p>
        </w:tc>
        <w:tc>
          <w:tcPr>
            <w:tcW w:w="720" w:type="dxa"/>
            <w:vAlign w:val="center"/>
          </w:tcPr>
          <w:p>
            <w:pPr>
              <w:jc w:val="center"/>
              <w:rPr>
                <w:rFonts w:hint="eastAsia"/>
                <w:b w:val="0"/>
                <w:bCs/>
                <w:color w:val="auto"/>
                <w:sz w:val="24"/>
                <w:lang w:val="en-US" w:eastAsia="zh-CN"/>
              </w:rPr>
            </w:pPr>
            <w:r>
              <w:rPr>
                <w:rFonts w:hint="eastAsia"/>
                <w:b w:val="0"/>
                <w:bCs/>
                <w:color w:val="auto"/>
                <w:sz w:val="24"/>
                <w:lang w:val="en-US" w:eastAsia="zh-CN"/>
              </w:rPr>
              <w:t>4</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5" w:type="dxa"/>
            <w:vMerge w:val="continue"/>
            <w:vAlign w:val="top"/>
          </w:tcPr>
          <w:p>
            <w:pPr>
              <w:rPr>
                <w:color w:val="auto"/>
                <w:vertAlign w:val="baseline"/>
              </w:rPr>
            </w:pPr>
          </w:p>
        </w:tc>
        <w:tc>
          <w:tcPr>
            <w:tcW w:w="7005" w:type="dxa"/>
            <w:gridSpan w:val="9"/>
            <w:vAlign w:val="center"/>
          </w:tcPr>
          <w:p>
            <w:pPr>
              <w:snapToGrid w:val="0"/>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设置消毒、隔离等防疫设施</w:t>
            </w:r>
            <w:r>
              <w:rPr>
                <w:rFonts w:hint="eastAsia" w:ascii="仿宋" w:hAnsi="仿宋" w:eastAsia="仿宋" w:cs="仿宋"/>
                <w:color w:val="auto"/>
                <w:sz w:val="28"/>
                <w:szCs w:val="28"/>
                <w:lang w:val="en-US" w:eastAsia="zh-CN"/>
              </w:rPr>
              <w:t>2分</w:t>
            </w:r>
            <w:r>
              <w:rPr>
                <w:rFonts w:hint="eastAsia" w:ascii="仿宋" w:hAnsi="仿宋" w:eastAsia="仿宋" w:cs="仿宋"/>
                <w:color w:val="auto"/>
                <w:sz w:val="28"/>
                <w:szCs w:val="28"/>
                <w:lang w:eastAsia="zh-CN"/>
              </w:rPr>
              <w:t>。配备必要的水质监测、病害检测仪器设备</w:t>
            </w:r>
            <w:r>
              <w:rPr>
                <w:rFonts w:hint="eastAsia" w:ascii="仿宋" w:hAnsi="仿宋" w:eastAsia="仿宋" w:cs="仿宋"/>
                <w:color w:val="auto"/>
                <w:sz w:val="28"/>
                <w:szCs w:val="28"/>
                <w:lang w:val="en-US" w:eastAsia="zh-CN"/>
              </w:rPr>
              <w:t>2分。</w:t>
            </w:r>
          </w:p>
        </w:tc>
        <w:tc>
          <w:tcPr>
            <w:tcW w:w="720" w:type="dxa"/>
            <w:vAlign w:val="center"/>
          </w:tcPr>
          <w:p>
            <w:pPr>
              <w:jc w:val="center"/>
              <w:rPr>
                <w:rFonts w:hint="eastAsia"/>
                <w:b w:val="0"/>
                <w:bCs/>
                <w:color w:val="auto"/>
                <w:sz w:val="24"/>
                <w:lang w:val="en-US" w:eastAsia="zh-CN"/>
              </w:rPr>
            </w:pPr>
            <w:r>
              <w:rPr>
                <w:rFonts w:hint="eastAsia"/>
                <w:b w:val="0"/>
                <w:bCs/>
                <w:color w:val="auto"/>
                <w:sz w:val="24"/>
                <w:lang w:val="en-US" w:eastAsia="zh-CN"/>
              </w:rPr>
              <w:t>4</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885" w:type="dxa"/>
            <w:vMerge w:val="continue"/>
            <w:vAlign w:val="top"/>
          </w:tcPr>
          <w:p>
            <w:pPr>
              <w:rPr>
                <w:color w:val="auto"/>
                <w:vertAlign w:val="baseline"/>
              </w:rPr>
            </w:pPr>
          </w:p>
        </w:tc>
        <w:tc>
          <w:tcPr>
            <w:tcW w:w="7005" w:type="dxa"/>
            <w:gridSpan w:val="9"/>
            <w:vAlign w:val="center"/>
          </w:tcPr>
          <w:p>
            <w:pPr>
              <w:snapToGrid w:val="0"/>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水、电、路、气等设施设备布设有序且</w:t>
            </w:r>
            <w:r>
              <w:rPr>
                <w:rFonts w:hint="eastAsia" w:ascii="仿宋" w:hAnsi="仿宋" w:eastAsia="仿宋" w:cs="仿宋"/>
                <w:color w:val="auto"/>
                <w:sz w:val="28"/>
                <w:szCs w:val="28"/>
              </w:rPr>
              <w:t>维护良好</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分。</w:t>
            </w:r>
          </w:p>
        </w:tc>
        <w:tc>
          <w:tcPr>
            <w:tcW w:w="720" w:type="dxa"/>
            <w:vAlign w:val="center"/>
          </w:tcPr>
          <w:p>
            <w:pPr>
              <w:jc w:val="center"/>
              <w:rPr>
                <w:rFonts w:hint="eastAsia"/>
                <w:b w:val="0"/>
                <w:bCs/>
                <w:color w:val="auto"/>
                <w:sz w:val="24"/>
                <w:lang w:val="en-US" w:eastAsia="zh-CN"/>
              </w:rPr>
            </w:pPr>
            <w:r>
              <w:rPr>
                <w:rFonts w:hint="eastAsia"/>
                <w:b w:val="0"/>
                <w:bCs/>
                <w:color w:val="auto"/>
                <w:sz w:val="24"/>
                <w:lang w:val="en-US" w:eastAsia="zh-CN"/>
              </w:rPr>
              <w:t>2</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5" w:type="dxa"/>
            <w:vMerge w:val="continue"/>
            <w:vAlign w:val="top"/>
          </w:tcPr>
          <w:p>
            <w:pPr>
              <w:rPr>
                <w:color w:val="auto"/>
                <w:vertAlign w:val="baseline"/>
              </w:rPr>
            </w:pPr>
          </w:p>
        </w:tc>
        <w:tc>
          <w:tcPr>
            <w:tcW w:w="7005" w:type="dxa"/>
            <w:gridSpan w:val="9"/>
            <w:vAlign w:val="center"/>
          </w:tcPr>
          <w:p>
            <w:pPr>
              <w:snapToGrid w:val="0"/>
              <w:rPr>
                <w:rFonts w:hint="eastAsia" w:ascii="仿宋" w:hAnsi="仿宋" w:eastAsia="仿宋" w:cs="仿宋"/>
                <w:color w:val="auto"/>
                <w:sz w:val="28"/>
                <w:szCs w:val="28"/>
                <w:vertAlign w:val="baseline"/>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工厂化养殖具有</w:t>
            </w:r>
            <w:r>
              <w:rPr>
                <w:rFonts w:hint="eastAsia" w:ascii="仿宋" w:hAnsi="仿宋" w:eastAsia="仿宋" w:cs="仿宋"/>
                <w:color w:val="auto"/>
                <w:sz w:val="28"/>
                <w:szCs w:val="28"/>
                <w:lang w:eastAsia="zh-CN"/>
              </w:rPr>
              <w:t>相应的尾水处理</w:t>
            </w:r>
            <w:r>
              <w:rPr>
                <w:rFonts w:hint="eastAsia" w:ascii="仿宋" w:hAnsi="仿宋" w:eastAsia="仿宋" w:cs="仿宋"/>
                <w:color w:val="auto"/>
                <w:sz w:val="28"/>
                <w:szCs w:val="28"/>
              </w:rPr>
              <w:t>设施或设备，池塘</w:t>
            </w:r>
            <w:r>
              <w:rPr>
                <w:rFonts w:hint="eastAsia" w:ascii="仿宋" w:hAnsi="仿宋" w:eastAsia="仿宋" w:cs="仿宋"/>
                <w:color w:val="auto"/>
                <w:sz w:val="28"/>
                <w:szCs w:val="28"/>
                <w:lang w:eastAsia="zh-CN"/>
              </w:rPr>
              <w:t>养殖集中区域具有水净化湿地、生态沟渠等</w:t>
            </w:r>
            <w:r>
              <w:rPr>
                <w:rFonts w:hint="eastAsia" w:ascii="仿宋" w:hAnsi="仿宋" w:eastAsia="仿宋" w:cs="仿宋"/>
                <w:color w:val="auto"/>
                <w:sz w:val="28"/>
                <w:szCs w:val="28"/>
                <w:lang w:val="en-US" w:eastAsia="zh-CN"/>
              </w:rPr>
              <w:t>2分</w:t>
            </w:r>
            <w:r>
              <w:rPr>
                <w:rFonts w:hint="eastAsia" w:ascii="仿宋" w:hAnsi="仿宋" w:eastAsia="仿宋" w:cs="仿宋"/>
                <w:color w:val="auto"/>
                <w:sz w:val="28"/>
                <w:szCs w:val="28"/>
                <w:lang w:eastAsia="zh-CN"/>
              </w:rPr>
              <w:t>。</w:t>
            </w:r>
          </w:p>
        </w:tc>
        <w:tc>
          <w:tcPr>
            <w:tcW w:w="720" w:type="dxa"/>
            <w:vAlign w:val="center"/>
          </w:tcPr>
          <w:p>
            <w:pPr>
              <w:jc w:val="center"/>
              <w:rPr>
                <w:rFonts w:hint="eastAsia"/>
                <w:b w:val="0"/>
                <w:bCs/>
                <w:color w:val="auto"/>
                <w:sz w:val="24"/>
                <w:lang w:eastAsia="zh-CN"/>
              </w:rPr>
            </w:pPr>
            <w:r>
              <w:rPr>
                <w:rFonts w:hint="eastAsia"/>
                <w:b w:val="0"/>
                <w:bCs/>
                <w:color w:val="auto"/>
                <w:sz w:val="24"/>
                <w:lang w:val="en-US" w:eastAsia="zh-CN"/>
              </w:rPr>
              <w:t>2</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885" w:type="dxa"/>
            <w:vMerge w:val="restart"/>
            <w:textDirection w:val="tbRlV"/>
            <w:vAlign w:val="center"/>
          </w:tcPr>
          <w:p>
            <w:pPr>
              <w:snapToGrid w:val="0"/>
              <w:ind w:left="113" w:leftChars="0" w:right="113" w:rightChars="0"/>
              <w:jc w:val="center"/>
              <w:rPr>
                <w:color w:val="auto"/>
                <w:vertAlign w:val="baseline"/>
              </w:rPr>
            </w:pPr>
            <w:r>
              <w:rPr>
                <w:rFonts w:hint="eastAsia" w:ascii="仿宋_GB2312" w:hAnsi="仿宋_GB2312" w:eastAsia="仿宋_GB2312" w:cs="仿宋_GB2312"/>
                <w:b/>
                <w:bCs w:val="0"/>
                <w:i w:val="0"/>
                <w:color w:val="000000"/>
                <w:kern w:val="0"/>
                <w:sz w:val="28"/>
                <w:szCs w:val="28"/>
                <w:u w:val="none"/>
                <w:lang w:val="en-US" w:eastAsia="zh-CN" w:bidi="ar"/>
              </w:rPr>
              <w:t>二、生产管理要求</w:t>
            </w:r>
          </w:p>
        </w:tc>
        <w:tc>
          <w:tcPr>
            <w:tcW w:w="7005" w:type="dxa"/>
            <w:gridSpan w:val="9"/>
            <w:vAlign w:val="center"/>
          </w:tcPr>
          <w:p>
            <w:pPr>
              <w:snapToGrid w:val="0"/>
              <w:rPr>
                <w:rFonts w:hint="eastAsia" w:ascii="仿宋" w:hAnsi="仿宋" w:eastAsia="仿宋" w:cs="仿宋"/>
                <w:color w:val="auto"/>
                <w:sz w:val="28"/>
                <w:szCs w:val="28"/>
                <w:vertAlign w:val="baseline"/>
              </w:rPr>
            </w:pPr>
            <w:r>
              <w:rPr>
                <w:rFonts w:hint="eastAsia" w:ascii="仿宋" w:hAnsi="仿宋" w:eastAsia="仿宋" w:cs="仿宋"/>
                <w:bCs/>
                <w:color w:val="auto"/>
                <w:sz w:val="28"/>
                <w:szCs w:val="28"/>
                <w:lang w:val="en-US" w:eastAsia="zh-CN"/>
              </w:rPr>
              <w:t>8.</w:t>
            </w:r>
            <w:r>
              <w:rPr>
                <w:rFonts w:hint="eastAsia" w:ascii="仿宋" w:hAnsi="仿宋" w:eastAsia="仿宋" w:cs="仿宋"/>
                <w:bCs/>
                <w:color w:val="auto"/>
                <w:sz w:val="28"/>
                <w:szCs w:val="28"/>
              </w:rPr>
              <w:t>养殖</w:t>
            </w:r>
            <w:r>
              <w:rPr>
                <w:rFonts w:hint="eastAsia" w:ascii="仿宋" w:hAnsi="仿宋" w:eastAsia="仿宋" w:cs="仿宋"/>
                <w:bCs/>
                <w:color w:val="auto"/>
                <w:sz w:val="28"/>
                <w:szCs w:val="28"/>
                <w:lang w:val="en-US" w:eastAsia="zh-CN"/>
              </w:rPr>
              <w:t>区域</w:t>
            </w:r>
            <w:r>
              <w:rPr>
                <w:rFonts w:hint="eastAsia" w:ascii="仿宋" w:hAnsi="仿宋" w:eastAsia="仿宋" w:cs="仿宋"/>
                <w:bCs/>
                <w:color w:val="auto"/>
                <w:sz w:val="28"/>
                <w:szCs w:val="28"/>
              </w:rPr>
              <w:t>整洁卫生</w:t>
            </w:r>
            <w:r>
              <w:rPr>
                <w:rFonts w:hint="eastAsia" w:ascii="仿宋" w:hAnsi="仿宋" w:eastAsia="仿宋" w:cs="仿宋"/>
                <w:bCs/>
                <w:color w:val="auto"/>
                <w:sz w:val="28"/>
                <w:szCs w:val="28"/>
                <w:lang w:val="en-US" w:eastAsia="zh-CN"/>
              </w:rPr>
              <w:t>3分，</w:t>
            </w:r>
            <w:r>
              <w:rPr>
                <w:rFonts w:hint="eastAsia" w:ascii="仿宋" w:hAnsi="仿宋" w:eastAsia="仿宋" w:cs="仿宋"/>
                <w:bCs/>
                <w:color w:val="auto"/>
                <w:sz w:val="28"/>
                <w:szCs w:val="28"/>
              </w:rPr>
              <w:t>饲料</w:t>
            </w:r>
            <w:r>
              <w:rPr>
                <w:rFonts w:hint="eastAsia" w:ascii="仿宋" w:hAnsi="仿宋" w:eastAsia="仿宋" w:cs="仿宋"/>
                <w:bCs/>
                <w:color w:val="auto"/>
                <w:sz w:val="28"/>
                <w:szCs w:val="28"/>
                <w:lang w:eastAsia="zh-CN"/>
              </w:rPr>
              <w:t>、药品</w:t>
            </w:r>
            <w:r>
              <w:rPr>
                <w:rFonts w:hint="eastAsia" w:ascii="仿宋" w:hAnsi="仿宋" w:eastAsia="仿宋" w:cs="仿宋"/>
                <w:bCs/>
                <w:color w:val="auto"/>
                <w:sz w:val="28"/>
                <w:szCs w:val="28"/>
              </w:rPr>
              <w:t>存放整齐</w:t>
            </w:r>
            <w:r>
              <w:rPr>
                <w:rFonts w:hint="eastAsia" w:ascii="仿宋" w:hAnsi="仿宋" w:eastAsia="仿宋" w:cs="仿宋"/>
                <w:bCs/>
                <w:color w:val="auto"/>
                <w:sz w:val="28"/>
                <w:szCs w:val="28"/>
                <w:lang w:val="en-US" w:eastAsia="zh-CN"/>
              </w:rPr>
              <w:t>3分。</w:t>
            </w:r>
          </w:p>
        </w:tc>
        <w:tc>
          <w:tcPr>
            <w:tcW w:w="720" w:type="dxa"/>
            <w:vAlign w:val="center"/>
          </w:tcPr>
          <w:p>
            <w:pPr>
              <w:jc w:val="center"/>
              <w:rPr>
                <w:b w:val="0"/>
                <w:bCs/>
                <w:color w:val="auto"/>
                <w:sz w:val="24"/>
              </w:rPr>
            </w:pPr>
            <w:r>
              <w:rPr>
                <w:rFonts w:hint="eastAsia"/>
                <w:b w:val="0"/>
                <w:bCs/>
                <w:color w:val="auto"/>
                <w:sz w:val="24"/>
                <w:lang w:val="en-US" w:eastAsia="zh-CN"/>
              </w:rPr>
              <w:t>6</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885" w:type="dxa"/>
            <w:vMerge w:val="continue"/>
            <w:vAlign w:val="top"/>
          </w:tcPr>
          <w:p>
            <w:pPr>
              <w:rPr>
                <w:color w:val="auto"/>
                <w:vertAlign w:val="baseline"/>
              </w:rPr>
            </w:pPr>
          </w:p>
        </w:tc>
        <w:tc>
          <w:tcPr>
            <w:tcW w:w="7005" w:type="dxa"/>
            <w:gridSpan w:val="9"/>
            <w:vAlign w:val="center"/>
          </w:tcPr>
          <w:p>
            <w:pPr>
              <w:snapToGrid w:val="0"/>
              <w:rPr>
                <w:rFonts w:hint="eastAsia" w:ascii="仿宋" w:hAnsi="仿宋" w:eastAsia="仿宋" w:cs="仿宋"/>
                <w:color w:val="auto"/>
                <w:sz w:val="28"/>
                <w:szCs w:val="28"/>
                <w:vertAlign w:val="baseline"/>
              </w:rPr>
            </w:pPr>
            <w:r>
              <w:rPr>
                <w:rFonts w:hint="eastAsia" w:ascii="仿宋" w:hAnsi="仿宋" w:eastAsia="仿宋" w:cs="仿宋"/>
                <w:bCs/>
                <w:color w:val="auto"/>
                <w:sz w:val="28"/>
                <w:szCs w:val="28"/>
                <w:lang w:val="en-US" w:eastAsia="zh-CN"/>
              </w:rPr>
              <w:t>9.</w:t>
            </w:r>
            <w:r>
              <w:rPr>
                <w:rFonts w:hint="eastAsia" w:ascii="仿宋" w:hAnsi="仿宋" w:eastAsia="仿宋" w:cs="仿宋"/>
                <w:bCs/>
                <w:color w:val="auto"/>
                <w:sz w:val="28"/>
                <w:szCs w:val="28"/>
              </w:rPr>
              <w:t>投饵机、增氧机等基本养殖生产设施设备完好</w:t>
            </w:r>
            <w:r>
              <w:rPr>
                <w:rFonts w:hint="eastAsia" w:ascii="仿宋" w:hAnsi="仿宋" w:eastAsia="仿宋" w:cs="仿宋"/>
                <w:bCs/>
                <w:color w:val="auto"/>
                <w:sz w:val="28"/>
                <w:szCs w:val="28"/>
                <w:lang w:val="en-US" w:eastAsia="zh-CN"/>
              </w:rPr>
              <w:t>2分</w:t>
            </w:r>
            <w:r>
              <w:rPr>
                <w:rFonts w:hint="eastAsia" w:ascii="仿宋" w:hAnsi="仿宋" w:eastAsia="仿宋" w:cs="仿宋"/>
                <w:bCs/>
                <w:color w:val="auto"/>
                <w:sz w:val="28"/>
                <w:szCs w:val="28"/>
              </w:rPr>
              <w:t>，运行维护正常</w:t>
            </w:r>
            <w:r>
              <w:rPr>
                <w:rFonts w:hint="eastAsia" w:ascii="仿宋" w:hAnsi="仿宋" w:eastAsia="仿宋" w:cs="仿宋"/>
                <w:bCs/>
                <w:color w:val="auto"/>
                <w:sz w:val="28"/>
                <w:szCs w:val="28"/>
                <w:lang w:val="en-US" w:eastAsia="zh-CN"/>
              </w:rPr>
              <w:t>2分</w:t>
            </w:r>
            <w:r>
              <w:rPr>
                <w:rFonts w:hint="eastAsia" w:ascii="仿宋" w:hAnsi="仿宋" w:eastAsia="仿宋" w:cs="仿宋"/>
                <w:bCs/>
                <w:color w:val="auto"/>
                <w:sz w:val="28"/>
                <w:szCs w:val="28"/>
              </w:rPr>
              <w:t>。</w:t>
            </w:r>
          </w:p>
        </w:tc>
        <w:tc>
          <w:tcPr>
            <w:tcW w:w="720" w:type="dxa"/>
            <w:vAlign w:val="center"/>
          </w:tcPr>
          <w:p>
            <w:pPr>
              <w:jc w:val="center"/>
              <w:rPr>
                <w:b w:val="0"/>
                <w:bCs/>
                <w:color w:val="auto"/>
                <w:sz w:val="24"/>
              </w:rPr>
            </w:pPr>
            <w:r>
              <w:rPr>
                <w:rFonts w:hint="eastAsia"/>
                <w:b w:val="0"/>
                <w:bCs/>
                <w:color w:val="auto"/>
                <w:sz w:val="24"/>
                <w:lang w:val="en-US" w:eastAsia="zh-CN"/>
              </w:rPr>
              <w:t>4</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85" w:type="dxa"/>
            <w:vMerge w:val="continue"/>
            <w:vAlign w:val="top"/>
          </w:tcPr>
          <w:p>
            <w:pPr>
              <w:rPr>
                <w:color w:val="auto"/>
                <w:vertAlign w:val="baseline"/>
              </w:rPr>
            </w:pPr>
          </w:p>
        </w:tc>
        <w:tc>
          <w:tcPr>
            <w:tcW w:w="7005" w:type="dxa"/>
            <w:gridSpan w:val="9"/>
            <w:vAlign w:val="center"/>
          </w:tcPr>
          <w:p>
            <w:pPr>
              <w:snapToGrid w:val="0"/>
              <w:rPr>
                <w:rFonts w:hint="eastAsia" w:ascii="仿宋" w:hAnsi="仿宋" w:eastAsia="仿宋" w:cs="仿宋"/>
                <w:color w:val="auto"/>
                <w:sz w:val="28"/>
                <w:szCs w:val="28"/>
                <w:vertAlign w:val="baseline"/>
              </w:rPr>
            </w:pPr>
            <w:r>
              <w:rPr>
                <w:rFonts w:hint="eastAsia" w:ascii="仿宋" w:hAnsi="仿宋" w:eastAsia="仿宋" w:cs="仿宋"/>
                <w:bCs/>
                <w:color w:val="auto"/>
                <w:sz w:val="28"/>
                <w:szCs w:val="28"/>
                <w:lang w:val="en-US" w:eastAsia="zh-CN"/>
              </w:rPr>
              <w:t>10.</w:t>
            </w:r>
            <w:r>
              <w:rPr>
                <w:rFonts w:hint="eastAsia" w:ascii="仿宋" w:hAnsi="仿宋" w:eastAsia="仿宋" w:cs="仿宋"/>
                <w:bCs/>
                <w:color w:val="auto"/>
                <w:sz w:val="28"/>
                <w:szCs w:val="28"/>
                <w:lang w:eastAsia="zh-CN"/>
              </w:rPr>
              <w:t>生产工具</w:t>
            </w:r>
            <w:r>
              <w:rPr>
                <w:rFonts w:hint="eastAsia" w:ascii="仿宋" w:hAnsi="仿宋" w:eastAsia="仿宋" w:cs="仿宋"/>
                <w:bCs/>
                <w:color w:val="auto"/>
                <w:sz w:val="28"/>
                <w:szCs w:val="28"/>
              </w:rPr>
              <w:t>使用完毕，及时收集清洗，统一晾晒存放</w:t>
            </w:r>
            <w:r>
              <w:rPr>
                <w:rFonts w:hint="eastAsia" w:ascii="仿宋" w:hAnsi="仿宋" w:eastAsia="仿宋" w:cs="仿宋"/>
                <w:bCs/>
                <w:color w:val="auto"/>
                <w:sz w:val="28"/>
                <w:szCs w:val="28"/>
                <w:lang w:val="en-US" w:eastAsia="zh-CN"/>
              </w:rPr>
              <w:t>2分</w:t>
            </w:r>
            <w:r>
              <w:rPr>
                <w:rFonts w:hint="eastAsia" w:ascii="仿宋" w:hAnsi="仿宋" w:eastAsia="仿宋" w:cs="仿宋"/>
                <w:bCs/>
                <w:color w:val="auto"/>
                <w:sz w:val="28"/>
                <w:szCs w:val="28"/>
              </w:rPr>
              <w:t>。</w:t>
            </w:r>
          </w:p>
        </w:tc>
        <w:tc>
          <w:tcPr>
            <w:tcW w:w="720" w:type="dxa"/>
            <w:vAlign w:val="center"/>
          </w:tcPr>
          <w:p>
            <w:pPr>
              <w:jc w:val="center"/>
              <w:rPr>
                <w:rFonts w:hint="eastAsia"/>
                <w:b w:val="0"/>
                <w:bCs/>
                <w:color w:val="auto"/>
                <w:sz w:val="24"/>
                <w:lang w:val="en-US" w:eastAsia="zh-CN"/>
              </w:rPr>
            </w:pPr>
            <w:r>
              <w:rPr>
                <w:rFonts w:hint="eastAsia"/>
                <w:b w:val="0"/>
                <w:bCs/>
                <w:color w:val="auto"/>
                <w:sz w:val="24"/>
                <w:lang w:val="en-US" w:eastAsia="zh-CN"/>
              </w:rPr>
              <w:t>2</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885" w:type="dxa"/>
            <w:vMerge w:val="continue"/>
            <w:vAlign w:val="top"/>
          </w:tcPr>
          <w:p>
            <w:pPr>
              <w:rPr>
                <w:color w:val="auto"/>
                <w:vertAlign w:val="baseline"/>
              </w:rPr>
            </w:pPr>
          </w:p>
        </w:tc>
        <w:tc>
          <w:tcPr>
            <w:tcW w:w="7005" w:type="dxa"/>
            <w:gridSpan w:val="9"/>
            <w:vAlign w:val="center"/>
          </w:tcPr>
          <w:p>
            <w:pPr>
              <w:snapToGrid w:val="0"/>
              <w:rPr>
                <w:rFonts w:hint="eastAsia" w:ascii="仿宋" w:hAnsi="仿宋" w:eastAsia="仿宋" w:cs="仿宋"/>
                <w:color w:val="auto"/>
                <w:sz w:val="28"/>
                <w:szCs w:val="28"/>
                <w:vertAlign w:val="baseline"/>
              </w:rPr>
            </w:pPr>
            <w:r>
              <w:rPr>
                <w:rFonts w:hint="eastAsia" w:ascii="仿宋" w:hAnsi="仿宋" w:eastAsia="仿宋" w:cs="仿宋"/>
                <w:bCs/>
                <w:color w:val="auto"/>
                <w:sz w:val="28"/>
                <w:szCs w:val="28"/>
                <w:lang w:val="en-US" w:eastAsia="zh-CN"/>
              </w:rPr>
              <w:t>11.</w:t>
            </w:r>
            <w:r>
              <w:rPr>
                <w:rFonts w:hint="eastAsia" w:ascii="仿宋" w:hAnsi="仿宋" w:eastAsia="仿宋" w:cs="仿宋"/>
                <w:bCs/>
                <w:color w:val="auto"/>
                <w:sz w:val="28"/>
                <w:szCs w:val="28"/>
              </w:rPr>
              <w:t>定期检测养殖环境水质状况（查验水质检测报告</w:t>
            </w:r>
            <w:r>
              <w:rPr>
                <w:rFonts w:hint="eastAsia" w:ascii="仿宋" w:hAnsi="仿宋" w:eastAsia="仿宋" w:cs="仿宋"/>
                <w:bCs/>
                <w:color w:val="auto"/>
                <w:sz w:val="28"/>
                <w:szCs w:val="28"/>
                <w:lang w:eastAsia="zh-CN"/>
              </w:rPr>
              <w:t>或记录</w:t>
            </w:r>
            <w:r>
              <w:rPr>
                <w:rFonts w:hint="eastAsia" w:ascii="仿宋" w:hAnsi="仿宋" w:eastAsia="仿宋" w:cs="仿宋"/>
                <w:bCs/>
                <w:color w:val="auto"/>
                <w:sz w:val="28"/>
                <w:szCs w:val="28"/>
              </w:rPr>
              <w:t>）3分。</w:t>
            </w:r>
          </w:p>
        </w:tc>
        <w:tc>
          <w:tcPr>
            <w:tcW w:w="720" w:type="dxa"/>
            <w:vAlign w:val="center"/>
          </w:tcPr>
          <w:p>
            <w:pPr>
              <w:jc w:val="center"/>
              <w:rPr>
                <w:rFonts w:hint="eastAsia"/>
                <w:b w:val="0"/>
                <w:bCs/>
                <w:color w:val="FF0000"/>
                <w:sz w:val="24"/>
                <w:lang w:eastAsia="zh-CN"/>
              </w:rPr>
            </w:pPr>
            <w:r>
              <w:rPr>
                <w:rFonts w:hint="eastAsia"/>
                <w:b w:val="0"/>
                <w:bCs/>
                <w:color w:val="FF0000"/>
                <w:sz w:val="24"/>
                <w:lang w:val="en-US" w:eastAsia="zh-CN"/>
              </w:rPr>
              <w:t>3</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885" w:type="dxa"/>
            <w:vMerge w:val="continue"/>
            <w:vAlign w:val="top"/>
          </w:tcPr>
          <w:p>
            <w:pPr>
              <w:rPr>
                <w:color w:val="auto"/>
                <w:vertAlign w:val="baseline"/>
              </w:rPr>
            </w:pPr>
          </w:p>
        </w:tc>
        <w:tc>
          <w:tcPr>
            <w:tcW w:w="7005" w:type="dxa"/>
            <w:gridSpan w:val="9"/>
            <w:vAlign w:val="center"/>
          </w:tcPr>
          <w:p>
            <w:pPr>
              <w:snapToGrid w:val="0"/>
              <w:rPr>
                <w:rFonts w:hint="eastAsia" w:ascii="仿宋" w:hAnsi="仿宋" w:eastAsia="仿宋" w:cs="仿宋"/>
                <w:color w:val="auto"/>
                <w:sz w:val="28"/>
                <w:szCs w:val="28"/>
                <w:vertAlign w:val="baseline"/>
              </w:rPr>
            </w:pPr>
            <w:r>
              <w:rPr>
                <w:rFonts w:hint="eastAsia" w:ascii="仿宋" w:hAnsi="仿宋" w:eastAsia="仿宋" w:cs="仿宋"/>
                <w:bCs/>
                <w:color w:val="auto"/>
                <w:sz w:val="28"/>
                <w:szCs w:val="28"/>
                <w:lang w:val="en-US" w:eastAsia="zh-CN"/>
              </w:rPr>
              <w:t>12.</w:t>
            </w:r>
            <w:r>
              <w:rPr>
                <w:rFonts w:hint="eastAsia" w:ascii="仿宋" w:hAnsi="仿宋" w:eastAsia="仿宋" w:cs="仿宋"/>
                <w:color w:val="auto"/>
                <w:sz w:val="28"/>
                <w:szCs w:val="28"/>
                <w:lang w:eastAsia="zh-CN"/>
              </w:rPr>
              <w:t>规模化养殖单位安装数字化监控设备，实现水质（温度、溶氧等）理化指标和生产情况在线监测和自动化控制</w:t>
            </w:r>
            <w:r>
              <w:rPr>
                <w:rFonts w:hint="eastAsia" w:ascii="仿宋" w:hAnsi="仿宋" w:eastAsia="仿宋" w:cs="仿宋"/>
                <w:color w:val="auto"/>
                <w:sz w:val="28"/>
                <w:szCs w:val="28"/>
                <w:lang w:val="en-US" w:eastAsia="zh-CN"/>
              </w:rPr>
              <w:t>2分</w:t>
            </w:r>
            <w:r>
              <w:rPr>
                <w:rFonts w:hint="eastAsia" w:ascii="仿宋" w:hAnsi="仿宋" w:eastAsia="仿宋" w:cs="仿宋"/>
                <w:color w:val="auto"/>
                <w:sz w:val="28"/>
                <w:szCs w:val="28"/>
                <w:lang w:eastAsia="zh-CN"/>
              </w:rPr>
              <w:t>。</w:t>
            </w:r>
          </w:p>
        </w:tc>
        <w:tc>
          <w:tcPr>
            <w:tcW w:w="720" w:type="dxa"/>
            <w:vAlign w:val="center"/>
          </w:tcPr>
          <w:p>
            <w:pPr>
              <w:jc w:val="center"/>
              <w:rPr>
                <w:bCs/>
                <w:color w:val="auto"/>
                <w:vertAlign w:val="baseline"/>
              </w:rPr>
            </w:pPr>
            <w:r>
              <w:rPr>
                <w:rFonts w:hint="eastAsia"/>
                <w:b w:val="0"/>
                <w:bCs/>
                <w:color w:val="auto"/>
                <w:sz w:val="24"/>
                <w:lang w:val="en-US" w:eastAsia="zh-CN"/>
              </w:rPr>
              <w:t>2</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5" w:type="dxa"/>
            <w:vMerge w:val="continue"/>
            <w:vAlign w:val="top"/>
          </w:tcPr>
          <w:p>
            <w:pPr>
              <w:rPr>
                <w:color w:val="auto"/>
                <w:vertAlign w:val="baseline"/>
              </w:rPr>
            </w:pPr>
          </w:p>
        </w:tc>
        <w:tc>
          <w:tcPr>
            <w:tcW w:w="7005" w:type="dxa"/>
            <w:gridSpan w:val="9"/>
            <w:vAlign w:val="center"/>
          </w:tcPr>
          <w:p>
            <w:pPr>
              <w:snapToGrid w:val="0"/>
              <w:rPr>
                <w:rFonts w:hint="eastAsia" w:ascii="仿宋" w:hAnsi="仿宋" w:eastAsia="仿宋" w:cs="仿宋"/>
                <w:color w:val="auto"/>
                <w:sz w:val="28"/>
                <w:szCs w:val="28"/>
                <w:vertAlign w:val="baseline"/>
              </w:rPr>
            </w:pPr>
            <w:r>
              <w:rPr>
                <w:rFonts w:hint="eastAsia" w:ascii="仿宋" w:hAnsi="仿宋" w:eastAsia="仿宋" w:cs="仿宋"/>
                <w:bCs/>
                <w:color w:val="auto"/>
                <w:sz w:val="28"/>
                <w:szCs w:val="28"/>
                <w:lang w:val="en-US" w:eastAsia="zh-CN"/>
              </w:rPr>
              <w:t>13.</w:t>
            </w:r>
            <w:r>
              <w:rPr>
                <w:rFonts w:hint="eastAsia" w:ascii="仿宋" w:hAnsi="仿宋" w:eastAsia="仿宋" w:cs="仿宋"/>
                <w:bCs/>
                <w:color w:val="auto"/>
                <w:sz w:val="28"/>
                <w:szCs w:val="28"/>
              </w:rPr>
              <w:t>水产苗种</w:t>
            </w:r>
            <w:r>
              <w:rPr>
                <w:rFonts w:hint="eastAsia" w:ascii="仿宋" w:hAnsi="仿宋" w:eastAsia="仿宋" w:cs="仿宋"/>
                <w:bCs/>
                <w:color w:val="auto"/>
                <w:sz w:val="28"/>
                <w:szCs w:val="28"/>
                <w:lang w:eastAsia="zh-CN"/>
              </w:rPr>
              <w:t>为自繁自育或</w:t>
            </w:r>
            <w:r>
              <w:rPr>
                <w:rFonts w:hint="eastAsia" w:ascii="仿宋" w:hAnsi="仿宋" w:eastAsia="仿宋" w:cs="仿宋"/>
                <w:bCs/>
                <w:color w:val="auto"/>
                <w:sz w:val="28"/>
                <w:szCs w:val="28"/>
              </w:rPr>
              <w:t>采购自持有《水产苗种生产许可证》的单位</w:t>
            </w:r>
            <w:r>
              <w:rPr>
                <w:rFonts w:hint="eastAsia" w:ascii="仿宋" w:hAnsi="仿宋" w:eastAsia="仿宋" w:cs="仿宋"/>
                <w:bCs/>
                <w:color w:val="auto"/>
                <w:sz w:val="28"/>
                <w:szCs w:val="28"/>
                <w:lang w:eastAsia="zh-CN"/>
              </w:rPr>
              <w:t>（查《水产苗种生产许可证》复印件）</w:t>
            </w:r>
            <w:r>
              <w:rPr>
                <w:rFonts w:hint="eastAsia" w:ascii="仿宋" w:hAnsi="仿宋" w:eastAsia="仿宋" w:cs="仿宋"/>
                <w:bCs/>
                <w:color w:val="auto"/>
                <w:sz w:val="28"/>
                <w:szCs w:val="28"/>
                <w:lang w:val="en-US" w:eastAsia="zh-CN"/>
              </w:rPr>
              <w:t>3分</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跨省</w:t>
            </w:r>
            <w:r>
              <w:rPr>
                <w:rFonts w:hint="eastAsia" w:ascii="仿宋" w:hAnsi="仿宋" w:eastAsia="仿宋" w:cs="仿宋"/>
                <w:bCs/>
                <w:color w:val="auto"/>
                <w:sz w:val="28"/>
                <w:szCs w:val="28"/>
              </w:rPr>
              <w:t>投放的水产苗种应当经检疫合格</w:t>
            </w:r>
            <w:r>
              <w:rPr>
                <w:rFonts w:hint="eastAsia" w:ascii="仿宋" w:hAnsi="仿宋" w:eastAsia="仿宋" w:cs="仿宋"/>
                <w:bCs/>
                <w:color w:val="auto"/>
                <w:sz w:val="28"/>
                <w:szCs w:val="28"/>
                <w:lang w:val="en-US" w:eastAsia="zh-CN"/>
              </w:rPr>
              <w:t>（查检疫合格证明复印件）5分</w:t>
            </w:r>
            <w:r>
              <w:rPr>
                <w:rFonts w:hint="eastAsia" w:ascii="仿宋" w:hAnsi="仿宋" w:eastAsia="仿宋" w:cs="仿宋"/>
                <w:bCs/>
                <w:color w:val="auto"/>
                <w:sz w:val="28"/>
                <w:szCs w:val="28"/>
                <w:lang w:eastAsia="zh-CN"/>
              </w:rPr>
              <w:t>。</w:t>
            </w:r>
          </w:p>
        </w:tc>
        <w:tc>
          <w:tcPr>
            <w:tcW w:w="720" w:type="dxa"/>
            <w:vAlign w:val="center"/>
          </w:tcPr>
          <w:p>
            <w:pPr>
              <w:jc w:val="center"/>
              <w:rPr>
                <w:bCs/>
                <w:color w:val="auto"/>
                <w:vertAlign w:val="baseline"/>
              </w:rPr>
            </w:pPr>
            <w:r>
              <w:rPr>
                <w:rFonts w:hint="eastAsia"/>
                <w:b w:val="0"/>
                <w:bCs/>
                <w:color w:val="auto"/>
                <w:sz w:val="24"/>
                <w:lang w:val="en-US" w:eastAsia="zh-CN"/>
              </w:rPr>
              <w:t>8</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5" w:type="dxa"/>
            <w:vMerge w:val="continue"/>
            <w:vAlign w:val="top"/>
          </w:tcPr>
          <w:p>
            <w:pPr>
              <w:rPr>
                <w:color w:val="auto"/>
                <w:vertAlign w:val="baseline"/>
              </w:rPr>
            </w:pPr>
          </w:p>
        </w:tc>
        <w:tc>
          <w:tcPr>
            <w:tcW w:w="7005" w:type="dxa"/>
            <w:gridSpan w:val="9"/>
            <w:vAlign w:val="center"/>
          </w:tcPr>
          <w:p>
            <w:pPr>
              <w:snapToGrid w:val="0"/>
              <w:rPr>
                <w:rFonts w:hint="eastAsia" w:ascii="仿宋" w:hAnsi="仿宋" w:eastAsia="仿宋" w:cs="仿宋"/>
                <w:bCs/>
                <w:color w:val="auto"/>
                <w:sz w:val="28"/>
                <w:szCs w:val="28"/>
              </w:rPr>
            </w:pP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饲料</w:t>
            </w:r>
            <w:r>
              <w:rPr>
                <w:rFonts w:hint="eastAsia" w:ascii="仿宋" w:hAnsi="仿宋" w:eastAsia="仿宋" w:cs="仿宋"/>
                <w:color w:val="auto"/>
                <w:sz w:val="28"/>
                <w:szCs w:val="28"/>
                <w:lang w:eastAsia="zh-CN"/>
              </w:rPr>
              <w:t>、药品等投入品来源正规</w:t>
            </w:r>
            <w:r>
              <w:rPr>
                <w:rFonts w:hint="eastAsia" w:ascii="仿宋" w:hAnsi="仿宋" w:eastAsia="仿宋" w:cs="仿宋"/>
                <w:color w:val="auto"/>
                <w:sz w:val="28"/>
                <w:szCs w:val="28"/>
              </w:rPr>
              <w:t>（查进货凭证）</w:t>
            </w:r>
            <w:r>
              <w:rPr>
                <w:rFonts w:hint="eastAsia" w:ascii="仿宋" w:hAnsi="仿宋" w:eastAsia="仿宋" w:cs="仿宋"/>
                <w:color w:val="auto"/>
                <w:sz w:val="28"/>
                <w:szCs w:val="28"/>
                <w:lang w:val="en-US" w:eastAsia="zh-CN"/>
              </w:rPr>
              <w:t>4分，严格执行水产养殖投入品使用休药期规定4分。</w:t>
            </w:r>
          </w:p>
        </w:tc>
        <w:tc>
          <w:tcPr>
            <w:tcW w:w="720" w:type="dxa"/>
            <w:vAlign w:val="center"/>
          </w:tcPr>
          <w:p>
            <w:pPr>
              <w:jc w:val="center"/>
              <w:rPr>
                <w:rFonts w:hint="eastAsia"/>
                <w:b w:val="0"/>
                <w:bCs/>
                <w:color w:val="auto"/>
                <w:sz w:val="24"/>
                <w:lang w:val="en-US" w:eastAsia="zh-CN"/>
              </w:rPr>
            </w:pPr>
            <w:r>
              <w:rPr>
                <w:rFonts w:hint="eastAsia"/>
                <w:b w:val="0"/>
                <w:bCs/>
                <w:color w:val="auto"/>
                <w:sz w:val="24"/>
                <w:lang w:val="en-US" w:eastAsia="zh-CN"/>
              </w:rPr>
              <w:t>8</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5" w:type="dxa"/>
            <w:vMerge w:val="continue"/>
            <w:vAlign w:val="top"/>
          </w:tcPr>
          <w:p>
            <w:pPr>
              <w:rPr>
                <w:color w:val="auto"/>
                <w:vertAlign w:val="baseline"/>
              </w:rPr>
            </w:pPr>
          </w:p>
        </w:tc>
        <w:tc>
          <w:tcPr>
            <w:tcW w:w="7005" w:type="dxa"/>
            <w:gridSpan w:val="9"/>
            <w:vAlign w:val="center"/>
          </w:tcPr>
          <w:p>
            <w:pPr>
              <w:snapToGrid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制订</w:t>
            </w:r>
            <w:r>
              <w:rPr>
                <w:rFonts w:hint="eastAsia" w:ascii="仿宋" w:hAnsi="仿宋" w:eastAsia="仿宋" w:cs="仿宋"/>
                <w:color w:val="auto"/>
                <w:sz w:val="28"/>
                <w:szCs w:val="28"/>
                <w:lang w:eastAsia="zh-CN"/>
              </w:rPr>
              <w:t>相应的生产规章制度和技术</w:t>
            </w:r>
            <w:r>
              <w:rPr>
                <w:rFonts w:hint="eastAsia" w:ascii="仿宋" w:hAnsi="仿宋" w:eastAsia="仿宋" w:cs="仿宋"/>
                <w:color w:val="auto"/>
                <w:sz w:val="28"/>
                <w:szCs w:val="28"/>
              </w:rPr>
              <w:t>操作</w:t>
            </w:r>
            <w:r>
              <w:rPr>
                <w:rFonts w:hint="eastAsia" w:ascii="仿宋" w:hAnsi="仿宋" w:eastAsia="仿宋" w:cs="仿宋"/>
                <w:color w:val="auto"/>
                <w:sz w:val="28"/>
                <w:szCs w:val="28"/>
                <w:lang w:eastAsia="zh-CN"/>
              </w:rPr>
              <w:t>规定</w:t>
            </w:r>
            <w:r>
              <w:rPr>
                <w:rFonts w:hint="eastAsia" w:ascii="仿宋" w:hAnsi="仿宋" w:eastAsia="仿宋" w:cs="仿宋"/>
                <w:color w:val="auto"/>
                <w:sz w:val="28"/>
                <w:szCs w:val="28"/>
                <w:lang w:val="en-US" w:eastAsia="zh-CN"/>
              </w:rPr>
              <w:t>3分，定期对职工或成员进行健康养殖和质量安全教育培训3分。</w:t>
            </w:r>
          </w:p>
        </w:tc>
        <w:tc>
          <w:tcPr>
            <w:tcW w:w="720" w:type="dxa"/>
            <w:vAlign w:val="center"/>
          </w:tcPr>
          <w:p>
            <w:pPr>
              <w:jc w:val="center"/>
              <w:rPr>
                <w:rFonts w:hint="eastAsia"/>
                <w:b w:val="0"/>
                <w:bCs/>
                <w:color w:val="auto"/>
                <w:sz w:val="24"/>
                <w:lang w:val="en-US" w:eastAsia="zh-CN"/>
              </w:rPr>
            </w:pPr>
            <w:r>
              <w:rPr>
                <w:rFonts w:hint="eastAsia"/>
                <w:b w:val="0"/>
                <w:bCs/>
                <w:color w:val="auto"/>
                <w:sz w:val="24"/>
                <w:lang w:val="en-US" w:eastAsia="zh-CN"/>
              </w:rPr>
              <w:t>6</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5" w:type="dxa"/>
            <w:vMerge w:val="continue"/>
            <w:vAlign w:val="top"/>
          </w:tcPr>
          <w:p>
            <w:pPr>
              <w:rPr>
                <w:color w:val="auto"/>
                <w:vertAlign w:val="baseline"/>
              </w:rPr>
            </w:pPr>
          </w:p>
        </w:tc>
        <w:tc>
          <w:tcPr>
            <w:tcW w:w="7005" w:type="dxa"/>
            <w:gridSpan w:val="9"/>
            <w:vAlign w:val="center"/>
          </w:tcPr>
          <w:p>
            <w:pPr>
              <w:snapToGrid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16.建立生产过程记录制度，生产数据上传农业</w:t>
            </w:r>
            <w:r>
              <w:rPr>
                <w:rFonts w:hint="eastAsia" w:ascii="仿宋" w:hAnsi="仿宋" w:eastAsia="仿宋" w:cs="仿宋"/>
                <w:color w:val="auto"/>
                <w:kern w:val="2"/>
                <w:sz w:val="28"/>
                <w:szCs w:val="28"/>
                <w:lang w:val="en-US" w:eastAsia="zh-CN" w:bidi="ar-SA"/>
              </w:rPr>
              <w:t>生产作业信息直报</w:t>
            </w:r>
            <w:r>
              <w:rPr>
                <w:rFonts w:hint="eastAsia" w:ascii="仿宋" w:hAnsi="仿宋" w:eastAsia="仿宋" w:cs="仿宋"/>
                <w:color w:val="auto"/>
                <w:sz w:val="28"/>
                <w:szCs w:val="28"/>
                <w:lang w:val="en-US" w:eastAsia="zh-CN"/>
              </w:rPr>
              <w:t>平台的5分，纸质记录的3分，记录档案保存2年以上2分。</w:t>
            </w:r>
          </w:p>
        </w:tc>
        <w:tc>
          <w:tcPr>
            <w:tcW w:w="720" w:type="dxa"/>
            <w:vAlign w:val="center"/>
          </w:tcPr>
          <w:p>
            <w:pPr>
              <w:jc w:val="center"/>
              <w:rPr>
                <w:rFonts w:hint="eastAsia"/>
                <w:b w:val="0"/>
                <w:bCs/>
                <w:color w:val="auto"/>
                <w:sz w:val="24"/>
                <w:lang w:val="en-US" w:eastAsia="zh-CN"/>
              </w:rPr>
            </w:pPr>
            <w:r>
              <w:rPr>
                <w:rFonts w:hint="eastAsia"/>
                <w:b w:val="0"/>
                <w:bCs/>
                <w:color w:val="auto"/>
                <w:sz w:val="24"/>
                <w:lang w:val="en-US" w:eastAsia="zh-CN"/>
              </w:rPr>
              <w:t>10</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885" w:type="dxa"/>
            <w:vMerge w:val="continue"/>
            <w:vAlign w:val="top"/>
          </w:tcPr>
          <w:p>
            <w:pPr>
              <w:rPr>
                <w:color w:val="auto"/>
                <w:vertAlign w:val="baseline"/>
              </w:rPr>
            </w:pPr>
          </w:p>
        </w:tc>
        <w:tc>
          <w:tcPr>
            <w:tcW w:w="7005" w:type="dxa"/>
            <w:gridSpan w:val="9"/>
            <w:vAlign w:val="center"/>
          </w:tcPr>
          <w:p>
            <w:pPr>
              <w:snapToGrid w:val="0"/>
              <w:rPr>
                <w:rFonts w:hint="eastAsia" w:ascii="仿宋" w:hAnsi="仿宋" w:eastAsia="仿宋" w:cs="仿宋"/>
                <w:color w:val="auto"/>
                <w:sz w:val="28"/>
                <w:szCs w:val="28"/>
                <w:vertAlign w:val="baseline"/>
              </w:rPr>
            </w:pPr>
            <w:r>
              <w:rPr>
                <w:rFonts w:hint="eastAsia" w:ascii="仿宋" w:hAnsi="仿宋" w:eastAsia="仿宋" w:cs="仿宋"/>
                <w:color w:val="auto"/>
                <w:sz w:val="28"/>
                <w:szCs w:val="28"/>
                <w:lang w:val="en-US" w:eastAsia="zh-CN"/>
              </w:rPr>
              <w:t>17.</w:t>
            </w:r>
            <w:r>
              <w:rPr>
                <w:rFonts w:hint="eastAsia" w:ascii="仿宋" w:hAnsi="仿宋" w:eastAsia="仿宋" w:cs="仿宋"/>
                <w:color w:val="auto"/>
                <w:sz w:val="28"/>
                <w:szCs w:val="28"/>
              </w:rPr>
              <w:t>建立水产品销售记录</w:t>
            </w:r>
            <w:r>
              <w:rPr>
                <w:rFonts w:hint="eastAsia" w:ascii="仿宋" w:hAnsi="仿宋" w:eastAsia="仿宋" w:cs="仿宋"/>
                <w:color w:val="auto"/>
                <w:sz w:val="28"/>
                <w:szCs w:val="28"/>
                <w:lang w:eastAsia="zh-CN"/>
              </w:rPr>
              <w:t>制度</w:t>
            </w:r>
            <w:r>
              <w:rPr>
                <w:rFonts w:hint="eastAsia" w:ascii="仿宋" w:hAnsi="仿宋" w:eastAsia="仿宋" w:cs="仿宋"/>
                <w:color w:val="auto"/>
                <w:sz w:val="28"/>
                <w:szCs w:val="28"/>
                <w:lang w:val="en-US" w:eastAsia="zh-CN"/>
              </w:rPr>
              <w:t>3分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销售水产品附具</w:t>
            </w:r>
            <w:r>
              <w:rPr>
                <w:rFonts w:hint="eastAsia" w:ascii="仿宋" w:hAnsi="仿宋" w:eastAsia="仿宋" w:cs="仿宋"/>
                <w:color w:val="auto"/>
                <w:sz w:val="28"/>
                <w:szCs w:val="28"/>
                <w:lang w:eastAsia="zh-CN"/>
              </w:rPr>
              <w:t>食用农产品合格证（产地证明）或</w:t>
            </w:r>
            <w:r>
              <w:rPr>
                <w:rFonts w:hint="eastAsia" w:ascii="仿宋" w:hAnsi="仿宋" w:eastAsia="仿宋" w:cs="仿宋"/>
                <w:color w:val="auto"/>
                <w:sz w:val="28"/>
                <w:szCs w:val="28"/>
              </w:rPr>
              <w:t>产品标签</w:t>
            </w:r>
            <w:r>
              <w:rPr>
                <w:rFonts w:hint="eastAsia" w:ascii="仿宋" w:hAnsi="仿宋" w:eastAsia="仿宋" w:cs="仿宋"/>
                <w:color w:val="auto"/>
                <w:sz w:val="28"/>
                <w:szCs w:val="28"/>
                <w:lang w:val="en-US" w:eastAsia="zh-CN"/>
              </w:rPr>
              <w:t>3分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获得绿色食品、有机食品等有关产品质量管理认证，且在有效期内</w:t>
            </w:r>
            <w:r>
              <w:rPr>
                <w:rFonts w:hint="eastAsia" w:ascii="仿宋" w:hAnsi="仿宋" w:eastAsia="仿宋" w:cs="仿宋"/>
                <w:color w:val="auto"/>
                <w:sz w:val="28"/>
                <w:szCs w:val="28"/>
                <w:lang w:val="en-US" w:eastAsia="zh-CN"/>
              </w:rPr>
              <w:t>2分</w:t>
            </w:r>
            <w:r>
              <w:rPr>
                <w:rFonts w:hint="eastAsia" w:ascii="仿宋" w:hAnsi="仿宋" w:eastAsia="仿宋" w:cs="仿宋"/>
                <w:color w:val="auto"/>
                <w:sz w:val="28"/>
                <w:szCs w:val="28"/>
              </w:rPr>
              <w:t>。</w:t>
            </w:r>
          </w:p>
        </w:tc>
        <w:tc>
          <w:tcPr>
            <w:tcW w:w="720" w:type="dxa"/>
            <w:vAlign w:val="center"/>
          </w:tcPr>
          <w:p>
            <w:pPr>
              <w:jc w:val="center"/>
              <w:rPr>
                <w:bCs/>
                <w:color w:val="auto"/>
                <w:vertAlign w:val="baseline"/>
              </w:rPr>
            </w:pPr>
            <w:r>
              <w:rPr>
                <w:rFonts w:hint="eastAsia"/>
                <w:b w:val="0"/>
                <w:bCs/>
                <w:color w:val="auto"/>
                <w:sz w:val="24"/>
                <w:lang w:val="en-US" w:eastAsia="zh-CN"/>
              </w:rPr>
              <w:t>8</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6" w:hRule="atLeast"/>
          <w:jc w:val="center"/>
        </w:trPr>
        <w:tc>
          <w:tcPr>
            <w:tcW w:w="885" w:type="dxa"/>
            <w:vMerge w:val="restart"/>
            <w:textDirection w:val="tbRlV"/>
            <w:vAlign w:val="center"/>
          </w:tcPr>
          <w:p>
            <w:pPr>
              <w:snapToGrid w:val="0"/>
              <w:ind w:left="0" w:leftChars="0" w:right="0" w:rightChars="0"/>
              <w:jc w:val="center"/>
              <w:rPr>
                <w:color w:val="auto"/>
                <w:vertAlign w:val="baseline"/>
              </w:rPr>
            </w:pPr>
            <w:r>
              <w:rPr>
                <w:rFonts w:hint="eastAsia" w:ascii="仿宋_GB2312" w:hAnsi="仿宋_GB2312" w:eastAsia="仿宋_GB2312" w:cs="仿宋_GB2312"/>
                <w:b/>
                <w:bCs w:val="0"/>
                <w:i w:val="0"/>
                <w:color w:val="000000"/>
                <w:kern w:val="0"/>
                <w:sz w:val="28"/>
                <w:szCs w:val="28"/>
                <w:u w:val="none"/>
                <w:lang w:val="en-US" w:eastAsia="zh-CN" w:bidi="ar"/>
              </w:rPr>
              <w:t>三、排放要求</w:t>
            </w:r>
          </w:p>
        </w:tc>
        <w:tc>
          <w:tcPr>
            <w:tcW w:w="7005" w:type="dxa"/>
            <w:gridSpan w:val="9"/>
            <w:vAlign w:val="center"/>
          </w:tcPr>
          <w:p>
            <w:pPr>
              <w:snapToGrid w:val="0"/>
              <w:ind w:left="0" w:leftChars="0" w:right="0" w:rightChars="0"/>
              <w:rPr>
                <w:rFonts w:hint="eastAsia" w:ascii="仿宋" w:hAnsi="仿宋" w:eastAsia="仿宋" w:cs="仿宋"/>
                <w:color w:val="auto"/>
                <w:sz w:val="28"/>
                <w:szCs w:val="28"/>
                <w:vertAlign w:val="baseline"/>
              </w:rPr>
            </w:pP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lang w:eastAsia="zh-CN"/>
              </w:rPr>
              <w:t>养殖尾水达标排放，</w:t>
            </w:r>
            <w:r>
              <w:rPr>
                <w:rFonts w:hint="eastAsia" w:ascii="仿宋" w:hAnsi="仿宋" w:eastAsia="仿宋" w:cs="仿宋"/>
                <w:color w:val="auto"/>
                <w:sz w:val="28"/>
                <w:szCs w:val="28"/>
                <w:lang w:val="en-US" w:eastAsia="zh-CN"/>
              </w:rPr>
              <w:t>排入污管的</w:t>
            </w:r>
            <w:r>
              <w:rPr>
                <w:rFonts w:hint="eastAsia" w:ascii="仿宋" w:hAnsi="仿宋" w:eastAsia="仿宋" w:cs="仿宋"/>
                <w:color w:val="auto"/>
                <w:sz w:val="28"/>
                <w:szCs w:val="28"/>
                <w:lang w:eastAsia="zh-CN"/>
              </w:rPr>
              <w:t>，主要指标不得超过《污水综合排放标准》（</w:t>
            </w:r>
            <w:r>
              <w:rPr>
                <w:rFonts w:hint="eastAsia" w:ascii="仿宋" w:hAnsi="仿宋" w:eastAsia="仿宋" w:cs="仿宋"/>
                <w:color w:val="auto"/>
                <w:sz w:val="28"/>
                <w:szCs w:val="28"/>
                <w:lang w:val="en-US" w:eastAsia="zh-CN"/>
              </w:rPr>
              <w:t>GB8978</w:t>
            </w:r>
            <w:r>
              <w:rPr>
                <w:rFonts w:hint="eastAsia" w:ascii="仿宋" w:hAnsi="仿宋" w:eastAsia="仿宋" w:cs="仿宋"/>
                <w:b w:val="0"/>
                <w:i w:val="0"/>
                <w:caps w:val="0"/>
                <w:color w:val="auto"/>
                <w:spacing w:val="0"/>
                <w:sz w:val="28"/>
                <w:szCs w:val="28"/>
                <w:shd w:val="clear" w:color="auto" w:fill="auto"/>
              </w:rPr>
              <w:t>-1996</w:t>
            </w:r>
            <w:r>
              <w:rPr>
                <w:rFonts w:hint="eastAsia" w:ascii="仿宋" w:hAnsi="仿宋" w:eastAsia="仿宋" w:cs="仿宋"/>
                <w:color w:val="auto"/>
                <w:sz w:val="28"/>
                <w:szCs w:val="28"/>
                <w:lang w:eastAsia="zh-CN"/>
              </w:rPr>
              <w:t>）等国家或者地方规定的排放标准。养殖尾水直接排放进入公共自然水域的，主要指标不得超过《淡水池塘养殖水排放要求》（</w:t>
            </w:r>
            <w:r>
              <w:rPr>
                <w:rFonts w:hint="eastAsia" w:ascii="仿宋" w:hAnsi="仿宋" w:eastAsia="仿宋" w:cs="仿宋"/>
                <w:color w:val="auto"/>
                <w:sz w:val="28"/>
                <w:szCs w:val="28"/>
                <w:lang w:val="en-US" w:eastAsia="zh-CN"/>
              </w:rPr>
              <w:t>SCT9101</w:t>
            </w:r>
            <w:r>
              <w:rPr>
                <w:rFonts w:hint="eastAsia" w:ascii="仿宋" w:hAnsi="仿宋" w:eastAsia="仿宋" w:cs="仿宋"/>
                <w:b w:val="0"/>
                <w:i w:val="0"/>
                <w:caps w:val="0"/>
                <w:color w:val="auto"/>
                <w:spacing w:val="0"/>
                <w:sz w:val="28"/>
                <w:szCs w:val="28"/>
                <w:shd w:val="clear" w:color="auto" w:fill="auto"/>
              </w:rPr>
              <w:t>-2007</w:t>
            </w:r>
            <w:r>
              <w:rPr>
                <w:rFonts w:hint="eastAsia" w:ascii="仿宋" w:hAnsi="仿宋" w:eastAsia="仿宋" w:cs="仿宋"/>
                <w:color w:val="auto"/>
                <w:sz w:val="28"/>
                <w:szCs w:val="28"/>
                <w:lang w:eastAsia="zh-CN"/>
              </w:rPr>
              <w:t>）规定的排放标准（查验尾水检测报告）</w:t>
            </w:r>
            <w:r>
              <w:rPr>
                <w:rFonts w:hint="eastAsia" w:ascii="仿宋" w:hAnsi="仿宋" w:eastAsia="仿宋" w:cs="仿宋"/>
                <w:color w:val="auto"/>
                <w:sz w:val="28"/>
                <w:szCs w:val="28"/>
                <w:lang w:val="en-US" w:eastAsia="zh-CN"/>
              </w:rPr>
              <w:t>5分</w:t>
            </w:r>
            <w:r>
              <w:rPr>
                <w:rFonts w:hint="eastAsia" w:ascii="仿宋" w:hAnsi="仿宋" w:eastAsia="仿宋" w:cs="仿宋"/>
                <w:color w:val="auto"/>
                <w:sz w:val="28"/>
                <w:szCs w:val="28"/>
                <w:lang w:eastAsia="zh-CN"/>
              </w:rPr>
              <w:t>。</w:t>
            </w:r>
          </w:p>
        </w:tc>
        <w:tc>
          <w:tcPr>
            <w:tcW w:w="720" w:type="dxa"/>
            <w:vAlign w:val="center"/>
          </w:tcPr>
          <w:p>
            <w:pPr>
              <w:jc w:val="center"/>
              <w:rPr>
                <w:rFonts w:hint="eastAsia"/>
                <w:b w:val="0"/>
                <w:bCs/>
                <w:color w:val="auto"/>
                <w:sz w:val="24"/>
                <w:lang w:val="en-US" w:eastAsia="zh-CN"/>
              </w:rPr>
            </w:pPr>
            <w:r>
              <w:rPr>
                <w:rFonts w:hint="eastAsia"/>
                <w:b w:val="0"/>
                <w:bCs/>
                <w:color w:val="auto"/>
                <w:sz w:val="24"/>
                <w:lang w:val="en-US" w:eastAsia="zh-CN"/>
              </w:rPr>
              <w:t>5</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885" w:type="dxa"/>
            <w:vMerge w:val="continue"/>
            <w:vAlign w:val="top"/>
          </w:tcPr>
          <w:p>
            <w:pPr>
              <w:rPr>
                <w:color w:val="auto"/>
                <w:vertAlign w:val="baseline"/>
              </w:rPr>
            </w:pPr>
          </w:p>
        </w:tc>
        <w:tc>
          <w:tcPr>
            <w:tcW w:w="7005" w:type="dxa"/>
            <w:gridSpan w:val="9"/>
            <w:vAlign w:val="center"/>
          </w:tcPr>
          <w:p>
            <w:pPr>
              <w:snapToGrid w:val="0"/>
              <w:ind w:left="0" w:leftChars="0" w:right="0" w:rightChars="0"/>
              <w:rPr>
                <w:rFonts w:hint="eastAsia" w:ascii="仿宋" w:hAnsi="仿宋" w:eastAsia="仿宋" w:cs="仿宋"/>
                <w:color w:val="auto"/>
                <w:sz w:val="28"/>
                <w:szCs w:val="28"/>
                <w:vertAlign w:val="baseline"/>
              </w:rPr>
            </w:pP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过期饲料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药品、</w:t>
            </w:r>
            <w:r>
              <w:rPr>
                <w:rFonts w:hint="eastAsia" w:ascii="仿宋" w:hAnsi="仿宋" w:eastAsia="仿宋" w:cs="仿宋"/>
                <w:color w:val="auto"/>
                <w:sz w:val="28"/>
                <w:szCs w:val="28"/>
                <w:lang w:eastAsia="zh-CN"/>
              </w:rPr>
              <w:t>池塘淤泥</w:t>
            </w:r>
            <w:r>
              <w:rPr>
                <w:rFonts w:hint="eastAsia" w:ascii="仿宋" w:hAnsi="仿宋" w:eastAsia="仿宋" w:cs="仿宋"/>
                <w:color w:val="auto"/>
                <w:sz w:val="28"/>
                <w:szCs w:val="28"/>
              </w:rPr>
              <w:t>、生活垃圾等分类收集</w:t>
            </w:r>
            <w:r>
              <w:rPr>
                <w:rFonts w:hint="eastAsia" w:ascii="仿宋" w:hAnsi="仿宋" w:eastAsia="仿宋" w:cs="仿宋"/>
                <w:color w:val="auto"/>
                <w:sz w:val="28"/>
                <w:szCs w:val="28"/>
                <w:lang w:val="en-US" w:eastAsia="zh-CN"/>
              </w:rPr>
              <w:t>3分</w:t>
            </w:r>
            <w:r>
              <w:rPr>
                <w:rFonts w:hint="eastAsia" w:ascii="仿宋" w:hAnsi="仿宋" w:eastAsia="仿宋" w:cs="仿宋"/>
                <w:color w:val="auto"/>
                <w:sz w:val="28"/>
                <w:szCs w:val="28"/>
              </w:rPr>
              <w:t>，妥善</w:t>
            </w:r>
            <w:r>
              <w:rPr>
                <w:rFonts w:hint="eastAsia" w:ascii="仿宋" w:hAnsi="仿宋" w:eastAsia="仿宋" w:cs="仿宋"/>
                <w:color w:val="auto"/>
                <w:sz w:val="28"/>
                <w:szCs w:val="28"/>
                <w:lang w:eastAsia="zh-CN"/>
              </w:rPr>
              <w:t>处理</w:t>
            </w:r>
            <w:r>
              <w:rPr>
                <w:rFonts w:hint="eastAsia" w:ascii="仿宋" w:hAnsi="仿宋" w:eastAsia="仿宋" w:cs="仿宋"/>
                <w:color w:val="auto"/>
                <w:sz w:val="28"/>
                <w:szCs w:val="28"/>
                <w:lang w:val="en-US" w:eastAsia="zh-CN"/>
              </w:rPr>
              <w:t>3分</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实现综合利用</w:t>
            </w:r>
            <w:r>
              <w:rPr>
                <w:rFonts w:hint="eastAsia" w:ascii="仿宋" w:hAnsi="仿宋" w:eastAsia="仿宋" w:cs="仿宋"/>
                <w:color w:val="auto"/>
                <w:sz w:val="28"/>
                <w:szCs w:val="28"/>
                <w:lang w:val="en-US" w:eastAsia="zh-CN"/>
              </w:rPr>
              <w:t>3分</w:t>
            </w:r>
            <w:r>
              <w:rPr>
                <w:rFonts w:hint="eastAsia" w:ascii="仿宋" w:hAnsi="仿宋" w:eastAsia="仿宋" w:cs="仿宋"/>
                <w:color w:val="auto"/>
                <w:sz w:val="28"/>
                <w:szCs w:val="28"/>
                <w:lang w:eastAsia="zh-CN"/>
              </w:rPr>
              <w:t>。</w:t>
            </w:r>
          </w:p>
        </w:tc>
        <w:tc>
          <w:tcPr>
            <w:tcW w:w="720" w:type="dxa"/>
            <w:vAlign w:val="center"/>
          </w:tcPr>
          <w:p>
            <w:pPr>
              <w:jc w:val="center"/>
              <w:rPr>
                <w:rFonts w:hint="eastAsia"/>
                <w:b w:val="0"/>
                <w:bCs/>
                <w:color w:val="auto"/>
                <w:sz w:val="24"/>
                <w:lang w:val="en-US" w:eastAsia="zh-CN"/>
              </w:rPr>
            </w:pPr>
            <w:r>
              <w:rPr>
                <w:rFonts w:hint="eastAsia"/>
                <w:b w:val="0"/>
                <w:bCs/>
                <w:color w:val="auto"/>
                <w:sz w:val="24"/>
                <w:lang w:val="en-US" w:eastAsia="zh-CN"/>
              </w:rPr>
              <w:t>9</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885" w:type="dxa"/>
            <w:vMerge w:val="continue"/>
            <w:vAlign w:val="top"/>
          </w:tcPr>
          <w:p>
            <w:pPr>
              <w:rPr>
                <w:color w:val="auto"/>
                <w:vertAlign w:val="baseline"/>
              </w:rPr>
            </w:pPr>
          </w:p>
        </w:tc>
        <w:tc>
          <w:tcPr>
            <w:tcW w:w="7005" w:type="dxa"/>
            <w:gridSpan w:val="9"/>
            <w:vAlign w:val="center"/>
          </w:tcPr>
          <w:p>
            <w:pPr>
              <w:snapToGrid w:val="0"/>
              <w:ind w:left="0" w:leftChars="0" w:right="0" w:rightChars="0"/>
              <w:rPr>
                <w:rFonts w:hint="eastAsia" w:ascii="仿宋" w:hAnsi="仿宋" w:eastAsia="仿宋" w:cs="仿宋"/>
                <w:color w:val="auto"/>
                <w:sz w:val="28"/>
                <w:szCs w:val="28"/>
                <w:vertAlign w:val="baseline"/>
              </w:rPr>
            </w:pP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lang w:eastAsia="zh-CN"/>
              </w:rPr>
              <w:t>染疫、病死或死因不明的养殖个体应依法进行深埋、焚烧等无害化处理，不得随意处置</w:t>
            </w:r>
            <w:r>
              <w:rPr>
                <w:rFonts w:hint="eastAsia" w:ascii="仿宋" w:hAnsi="仿宋" w:eastAsia="仿宋" w:cs="仿宋"/>
                <w:color w:val="auto"/>
                <w:sz w:val="28"/>
                <w:szCs w:val="28"/>
                <w:lang w:val="en-US" w:eastAsia="zh-CN"/>
              </w:rPr>
              <w:t>3分</w:t>
            </w:r>
            <w:r>
              <w:rPr>
                <w:rFonts w:hint="eastAsia" w:ascii="仿宋" w:hAnsi="仿宋" w:eastAsia="仿宋" w:cs="仿宋"/>
                <w:color w:val="auto"/>
                <w:sz w:val="28"/>
                <w:szCs w:val="28"/>
                <w:lang w:eastAsia="zh-CN"/>
              </w:rPr>
              <w:t>。</w:t>
            </w:r>
          </w:p>
        </w:tc>
        <w:tc>
          <w:tcPr>
            <w:tcW w:w="720" w:type="dxa"/>
            <w:vAlign w:val="center"/>
          </w:tcPr>
          <w:p>
            <w:pPr>
              <w:jc w:val="center"/>
              <w:rPr>
                <w:rFonts w:hint="eastAsia"/>
                <w:b w:val="0"/>
                <w:bCs/>
                <w:color w:val="auto"/>
                <w:sz w:val="24"/>
                <w:lang w:val="en-US" w:eastAsia="zh-CN"/>
              </w:rPr>
            </w:pPr>
            <w:r>
              <w:rPr>
                <w:rFonts w:hint="eastAsia"/>
                <w:b w:val="0"/>
                <w:bCs/>
                <w:color w:val="auto"/>
                <w:sz w:val="24"/>
                <w:lang w:val="en-US" w:eastAsia="zh-CN"/>
              </w:rPr>
              <w:t>3</w:t>
            </w:r>
          </w:p>
        </w:tc>
        <w:tc>
          <w:tcPr>
            <w:tcW w:w="600" w:type="dxa"/>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7890" w:type="dxa"/>
            <w:gridSpan w:val="10"/>
            <w:vAlign w:val="center"/>
          </w:tcPr>
          <w:p>
            <w:pPr>
              <w:ind w:left="0" w:right="0"/>
              <w:jc w:val="center"/>
              <w:rPr>
                <w:rFonts w:hint="eastAsia" w:eastAsia="黑体"/>
                <w:color w:val="auto"/>
                <w:sz w:val="24"/>
                <w:lang w:eastAsia="zh-CN"/>
              </w:rPr>
            </w:pPr>
            <w:r>
              <w:rPr>
                <w:rFonts w:hint="eastAsia" w:eastAsia="黑体"/>
                <w:color w:val="auto"/>
                <w:sz w:val="24"/>
                <w:lang w:eastAsia="zh-CN"/>
              </w:rPr>
              <w:t>合计</w:t>
            </w:r>
          </w:p>
        </w:tc>
        <w:tc>
          <w:tcPr>
            <w:tcW w:w="720" w:type="dxa"/>
            <w:vAlign w:val="center"/>
          </w:tcPr>
          <w:p>
            <w:pPr>
              <w:jc w:val="center"/>
              <w:rPr>
                <w:rFonts w:hint="eastAsia"/>
                <w:b w:val="0"/>
                <w:bCs/>
                <w:color w:val="auto"/>
                <w:sz w:val="24"/>
                <w:lang w:val="en-US" w:eastAsia="zh-CN"/>
              </w:rPr>
            </w:pPr>
            <w:r>
              <w:rPr>
                <w:rFonts w:hint="eastAsia"/>
                <w:b w:val="0"/>
                <w:bCs/>
                <w:color w:val="auto"/>
                <w:sz w:val="24"/>
                <w:lang w:val="en-US" w:eastAsia="zh-CN"/>
              </w:rPr>
              <w:t>100</w:t>
            </w:r>
          </w:p>
        </w:tc>
        <w:tc>
          <w:tcPr>
            <w:tcW w:w="600" w:type="dxa"/>
            <w:vAlign w:val="center"/>
          </w:tcPr>
          <w:p>
            <w:pPr>
              <w:ind w:left="0" w:right="0"/>
              <w:jc w:val="center"/>
              <w:rPr>
                <w:rFonts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2220" w:type="dxa"/>
            <w:gridSpan w:val="2"/>
            <w:vMerge w:val="restart"/>
            <w:vAlign w:val="center"/>
          </w:tcPr>
          <w:p>
            <w:pPr>
              <w:ind w:left="0" w:right="0"/>
              <w:jc w:val="center"/>
              <w:rPr>
                <w:color w:val="auto"/>
                <w:vertAlign w:val="baseline"/>
              </w:rPr>
            </w:pPr>
            <w:r>
              <w:rPr>
                <w:rFonts w:hint="eastAsia" w:ascii="仿宋_GB2312" w:hAnsi="仿宋_GB2312" w:eastAsia="仿宋_GB2312" w:cs="仿宋_GB2312"/>
                <w:b/>
                <w:bCs w:val="0"/>
                <w:i w:val="0"/>
                <w:color w:val="000000"/>
                <w:kern w:val="0"/>
                <w:sz w:val="28"/>
                <w:szCs w:val="28"/>
                <w:u w:val="none"/>
                <w:lang w:val="en-US" w:eastAsia="zh-CN" w:bidi="ar"/>
              </w:rPr>
              <w:t>考核工作组签名</w:t>
            </w:r>
          </w:p>
        </w:tc>
        <w:tc>
          <w:tcPr>
            <w:tcW w:w="840" w:type="dxa"/>
            <w:vAlign w:val="center"/>
          </w:tcPr>
          <w:p>
            <w:pPr>
              <w:ind w:left="0" w:leftChars="0" w:right="0" w:rightChars="0"/>
              <w:jc w:val="center"/>
              <w:rPr>
                <w:color w:val="auto"/>
                <w:sz w:val="28"/>
                <w:szCs w:val="28"/>
                <w:vertAlign w:val="baseline"/>
              </w:rPr>
            </w:pPr>
            <w:r>
              <w:rPr>
                <w:rFonts w:hAnsi="宋体"/>
                <w:color w:val="auto"/>
                <w:sz w:val="28"/>
                <w:szCs w:val="28"/>
              </w:rPr>
              <w:t>姓名</w:t>
            </w:r>
          </w:p>
        </w:tc>
        <w:tc>
          <w:tcPr>
            <w:tcW w:w="1170" w:type="dxa"/>
            <w:gridSpan w:val="2"/>
            <w:vAlign w:val="center"/>
          </w:tcPr>
          <w:p>
            <w:pPr>
              <w:ind w:left="0" w:leftChars="0" w:right="0" w:rightChars="0"/>
              <w:jc w:val="center"/>
              <w:rPr>
                <w:color w:val="auto"/>
                <w:sz w:val="28"/>
                <w:szCs w:val="28"/>
                <w:vertAlign w:val="baseline"/>
              </w:rPr>
            </w:pPr>
          </w:p>
        </w:tc>
        <w:tc>
          <w:tcPr>
            <w:tcW w:w="975" w:type="dxa"/>
            <w:gridSpan w:val="2"/>
            <w:vAlign w:val="center"/>
          </w:tcPr>
          <w:p>
            <w:pPr>
              <w:ind w:left="0" w:leftChars="0" w:right="0" w:rightChars="0"/>
              <w:jc w:val="center"/>
              <w:rPr>
                <w:color w:val="auto"/>
                <w:sz w:val="28"/>
                <w:szCs w:val="28"/>
                <w:vertAlign w:val="baseline"/>
              </w:rPr>
            </w:pPr>
            <w:r>
              <w:rPr>
                <w:rFonts w:hAnsi="宋体"/>
                <w:color w:val="auto"/>
                <w:sz w:val="28"/>
                <w:szCs w:val="28"/>
              </w:rPr>
              <w:t>单位</w:t>
            </w:r>
          </w:p>
        </w:tc>
        <w:tc>
          <w:tcPr>
            <w:tcW w:w="1860" w:type="dxa"/>
            <w:gridSpan w:val="2"/>
            <w:vAlign w:val="center"/>
          </w:tcPr>
          <w:p>
            <w:pPr>
              <w:ind w:left="0" w:leftChars="0" w:right="0" w:rightChars="0"/>
              <w:jc w:val="center"/>
              <w:rPr>
                <w:color w:val="auto"/>
                <w:sz w:val="28"/>
                <w:szCs w:val="28"/>
                <w:vertAlign w:val="baseline"/>
              </w:rPr>
            </w:pPr>
          </w:p>
        </w:tc>
        <w:tc>
          <w:tcPr>
            <w:tcW w:w="825" w:type="dxa"/>
            <w:vAlign w:val="center"/>
          </w:tcPr>
          <w:p>
            <w:pPr>
              <w:ind w:left="0" w:leftChars="0" w:right="0" w:rightChars="0"/>
              <w:jc w:val="center"/>
              <w:rPr>
                <w:color w:val="auto"/>
                <w:sz w:val="28"/>
                <w:szCs w:val="28"/>
                <w:vertAlign w:val="baseline"/>
              </w:rPr>
            </w:pPr>
            <w:r>
              <w:rPr>
                <w:rFonts w:hAnsi="宋体"/>
                <w:color w:val="auto"/>
                <w:sz w:val="28"/>
                <w:szCs w:val="28"/>
              </w:rPr>
              <w:t>职务</w:t>
            </w:r>
          </w:p>
        </w:tc>
        <w:tc>
          <w:tcPr>
            <w:tcW w:w="1320" w:type="dxa"/>
            <w:gridSpan w:val="2"/>
            <w:vAlign w:val="center"/>
          </w:tcPr>
          <w:p>
            <w:pPr>
              <w:ind w:left="0" w:leftChars="0" w:right="0" w:rightChars="0"/>
              <w:jc w:val="cente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2220" w:type="dxa"/>
            <w:gridSpan w:val="2"/>
            <w:vMerge w:val="continue"/>
            <w:vAlign w:val="top"/>
          </w:tcPr>
          <w:p>
            <w:pPr>
              <w:rPr>
                <w:color w:val="auto"/>
                <w:vertAlign w:val="baseline"/>
              </w:rPr>
            </w:pPr>
          </w:p>
        </w:tc>
        <w:tc>
          <w:tcPr>
            <w:tcW w:w="840" w:type="dxa"/>
            <w:vAlign w:val="center"/>
          </w:tcPr>
          <w:p>
            <w:pPr>
              <w:ind w:left="0" w:leftChars="0" w:right="0" w:rightChars="0"/>
              <w:jc w:val="center"/>
              <w:rPr>
                <w:color w:val="auto"/>
                <w:sz w:val="28"/>
                <w:szCs w:val="28"/>
                <w:vertAlign w:val="baseline"/>
              </w:rPr>
            </w:pPr>
            <w:r>
              <w:rPr>
                <w:rFonts w:hAnsi="宋体"/>
                <w:color w:val="auto"/>
                <w:sz w:val="28"/>
                <w:szCs w:val="28"/>
              </w:rPr>
              <w:t>姓名</w:t>
            </w:r>
          </w:p>
        </w:tc>
        <w:tc>
          <w:tcPr>
            <w:tcW w:w="1170" w:type="dxa"/>
            <w:gridSpan w:val="2"/>
            <w:vAlign w:val="center"/>
          </w:tcPr>
          <w:p>
            <w:pPr>
              <w:ind w:left="0" w:leftChars="0" w:right="0" w:rightChars="0"/>
              <w:jc w:val="center"/>
              <w:rPr>
                <w:color w:val="auto"/>
                <w:sz w:val="28"/>
                <w:szCs w:val="28"/>
                <w:vertAlign w:val="baseline"/>
              </w:rPr>
            </w:pPr>
          </w:p>
        </w:tc>
        <w:tc>
          <w:tcPr>
            <w:tcW w:w="975" w:type="dxa"/>
            <w:gridSpan w:val="2"/>
            <w:vAlign w:val="center"/>
          </w:tcPr>
          <w:p>
            <w:pPr>
              <w:ind w:left="0" w:leftChars="0" w:right="0" w:rightChars="0"/>
              <w:jc w:val="center"/>
              <w:rPr>
                <w:color w:val="auto"/>
                <w:sz w:val="28"/>
                <w:szCs w:val="28"/>
                <w:vertAlign w:val="baseline"/>
              </w:rPr>
            </w:pPr>
            <w:r>
              <w:rPr>
                <w:rFonts w:hAnsi="宋体"/>
                <w:color w:val="auto"/>
                <w:sz w:val="28"/>
                <w:szCs w:val="28"/>
              </w:rPr>
              <w:t>单位</w:t>
            </w:r>
          </w:p>
        </w:tc>
        <w:tc>
          <w:tcPr>
            <w:tcW w:w="1860" w:type="dxa"/>
            <w:gridSpan w:val="2"/>
            <w:vAlign w:val="center"/>
          </w:tcPr>
          <w:p>
            <w:pPr>
              <w:ind w:left="0" w:leftChars="0" w:right="0" w:rightChars="0"/>
              <w:jc w:val="center"/>
              <w:rPr>
                <w:color w:val="auto"/>
                <w:sz w:val="28"/>
                <w:szCs w:val="28"/>
                <w:vertAlign w:val="baseline"/>
              </w:rPr>
            </w:pPr>
          </w:p>
        </w:tc>
        <w:tc>
          <w:tcPr>
            <w:tcW w:w="825" w:type="dxa"/>
            <w:vAlign w:val="center"/>
          </w:tcPr>
          <w:p>
            <w:pPr>
              <w:ind w:left="0" w:leftChars="0" w:right="0" w:rightChars="0"/>
              <w:jc w:val="center"/>
              <w:rPr>
                <w:color w:val="auto"/>
                <w:sz w:val="28"/>
                <w:szCs w:val="28"/>
                <w:vertAlign w:val="baseline"/>
              </w:rPr>
            </w:pPr>
            <w:r>
              <w:rPr>
                <w:rFonts w:hAnsi="宋体"/>
                <w:color w:val="auto"/>
                <w:sz w:val="28"/>
                <w:szCs w:val="28"/>
              </w:rPr>
              <w:t>职务</w:t>
            </w:r>
          </w:p>
        </w:tc>
        <w:tc>
          <w:tcPr>
            <w:tcW w:w="1320" w:type="dxa"/>
            <w:gridSpan w:val="2"/>
            <w:vAlign w:val="center"/>
          </w:tcPr>
          <w:p>
            <w:pPr>
              <w:ind w:left="0" w:leftChars="0" w:right="0" w:rightChars="0"/>
              <w:jc w:val="cente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2220" w:type="dxa"/>
            <w:gridSpan w:val="2"/>
            <w:vMerge w:val="continue"/>
            <w:vAlign w:val="top"/>
          </w:tcPr>
          <w:p>
            <w:pPr>
              <w:rPr>
                <w:color w:val="auto"/>
                <w:vertAlign w:val="baseline"/>
              </w:rPr>
            </w:pPr>
          </w:p>
        </w:tc>
        <w:tc>
          <w:tcPr>
            <w:tcW w:w="840" w:type="dxa"/>
            <w:vAlign w:val="center"/>
          </w:tcPr>
          <w:p>
            <w:pPr>
              <w:ind w:left="0" w:leftChars="0" w:right="0" w:rightChars="0"/>
              <w:jc w:val="center"/>
              <w:rPr>
                <w:color w:val="auto"/>
                <w:sz w:val="28"/>
                <w:szCs w:val="28"/>
                <w:vertAlign w:val="baseline"/>
              </w:rPr>
            </w:pPr>
            <w:r>
              <w:rPr>
                <w:rFonts w:hAnsi="宋体"/>
                <w:color w:val="auto"/>
                <w:sz w:val="28"/>
                <w:szCs w:val="28"/>
              </w:rPr>
              <w:t>姓名</w:t>
            </w:r>
          </w:p>
        </w:tc>
        <w:tc>
          <w:tcPr>
            <w:tcW w:w="1170" w:type="dxa"/>
            <w:gridSpan w:val="2"/>
            <w:vAlign w:val="center"/>
          </w:tcPr>
          <w:p>
            <w:pPr>
              <w:ind w:left="0" w:leftChars="0" w:right="0" w:rightChars="0"/>
              <w:jc w:val="center"/>
              <w:rPr>
                <w:color w:val="auto"/>
                <w:sz w:val="28"/>
                <w:szCs w:val="28"/>
                <w:vertAlign w:val="baseline"/>
              </w:rPr>
            </w:pPr>
          </w:p>
        </w:tc>
        <w:tc>
          <w:tcPr>
            <w:tcW w:w="975" w:type="dxa"/>
            <w:gridSpan w:val="2"/>
            <w:vAlign w:val="center"/>
          </w:tcPr>
          <w:p>
            <w:pPr>
              <w:ind w:left="0" w:leftChars="0" w:right="0" w:rightChars="0"/>
              <w:jc w:val="center"/>
              <w:rPr>
                <w:color w:val="auto"/>
                <w:sz w:val="28"/>
                <w:szCs w:val="28"/>
                <w:vertAlign w:val="baseline"/>
              </w:rPr>
            </w:pPr>
            <w:r>
              <w:rPr>
                <w:rFonts w:hAnsi="宋体"/>
                <w:color w:val="auto"/>
                <w:sz w:val="28"/>
                <w:szCs w:val="28"/>
              </w:rPr>
              <w:t>单位</w:t>
            </w:r>
          </w:p>
        </w:tc>
        <w:tc>
          <w:tcPr>
            <w:tcW w:w="1860" w:type="dxa"/>
            <w:gridSpan w:val="2"/>
            <w:vAlign w:val="center"/>
          </w:tcPr>
          <w:p>
            <w:pPr>
              <w:ind w:left="0" w:leftChars="0" w:right="0" w:rightChars="0"/>
              <w:jc w:val="center"/>
              <w:rPr>
                <w:color w:val="auto"/>
                <w:sz w:val="28"/>
                <w:szCs w:val="28"/>
                <w:vertAlign w:val="baseline"/>
              </w:rPr>
            </w:pPr>
          </w:p>
        </w:tc>
        <w:tc>
          <w:tcPr>
            <w:tcW w:w="825" w:type="dxa"/>
            <w:vAlign w:val="center"/>
          </w:tcPr>
          <w:p>
            <w:pPr>
              <w:ind w:left="0" w:leftChars="0" w:right="0" w:rightChars="0"/>
              <w:jc w:val="center"/>
              <w:rPr>
                <w:color w:val="auto"/>
                <w:sz w:val="28"/>
                <w:szCs w:val="28"/>
                <w:vertAlign w:val="baseline"/>
              </w:rPr>
            </w:pPr>
            <w:r>
              <w:rPr>
                <w:rFonts w:hAnsi="宋体"/>
                <w:color w:val="auto"/>
                <w:sz w:val="28"/>
                <w:szCs w:val="28"/>
              </w:rPr>
              <w:t>职务</w:t>
            </w:r>
          </w:p>
        </w:tc>
        <w:tc>
          <w:tcPr>
            <w:tcW w:w="1320" w:type="dxa"/>
            <w:gridSpan w:val="2"/>
            <w:vAlign w:val="center"/>
          </w:tcPr>
          <w:p>
            <w:pPr>
              <w:ind w:left="0" w:leftChars="0" w:right="0" w:rightChars="0"/>
              <w:jc w:val="cente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220" w:type="dxa"/>
            <w:gridSpan w:val="2"/>
            <w:vMerge w:val="continue"/>
            <w:vAlign w:val="top"/>
          </w:tcPr>
          <w:p>
            <w:pPr>
              <w:rPr>
                <w:color w:val="auto"/>
                <w:vertAlign w:val="baseline"/>
              </w:rPr>
            </w:pPr>
          </w:p>
        </w:tc>
        <w:tc>
          <w:tcPr>
            <w:tcW w:w="840" w:type="dxa"/>
            <w:vAlign w:val="top"/>
          </w:tcPr>
          <w:p>
            <w:pPr>
              <w:rPr>
                <w:color w:val="auto"/>
                <w:sz w:val="28"/>
                <w:szCs w:val="28"/>
                <w:vertAlign w:val="baseline"/>
              </w:rPr>
            </w:pPr>
          </w:p>
        </w:tc>
        <w:tc>
          <w:tcPr>
            <w:tcW w:w="1170" w:type="dxa"/>
            <w:gridSpan w:val="2"/>
            <w:vAlign w:val="top"/>
          </w:tcPr>
          <w:p>
            <w:pPr>
              <w:rPr>
                <w:color w:val="auto"/>
                <w:sz w:val="28"/>
                <w:szCs w:val="28"/>
                <w:vertAlign w:val="baseline"/>
              </w:rPr>
            </w:pPr>
          </w:p>
        </w:tc>
        <w:tc>
          <w:tcPr>
            <w:tcW w:w="975" w:type="dxa"/>
            <w:gridSpan w:val="2"/>
            <w:vAlign w:val="top"/>
          </w:tcPr>
          <w:p>
            <w:pPr>
              <w:rPr>
                <w:color w:val="auto"/>
                <w:sz w:val="28"/>
                <w:szCs w:val="28"/>
                <w:vertAlign w:val="baseline"/>
              </w:rPr>
            </w:pPr>
          </w:p>
        </w:tc>
        <w:tc>
          <w:tcPr>
            <w:tcW w:w="1860" w:type="dxa"/>
            <w:gridSpan w:val="2"/>
            <w:vAlign w:val="top"/>
          </w:tcPr>
          <w:p>
            <w:pPr>
              <w:rPr>
                <w:color w:val="auto"/>
                <w:sz w:val="28"/>
                <w:szCs w:val="28"/>
                <w:vertAlign w:val="baseline"/>
              </w:rPr>
            </w:pPr>
          </w:p>
        </w:tc>
        <w:tc>
          <w:tcPr>
            <w:tcW w:w="825" w:type="dxa"/>
            <w:vAlign w:val="top"/>
          </w:tcPr>
          <w:p>
            <w:pPr>
              <w:rPr>
                <w:color w:val="auto"/>
                <w:sz w:val="28"/>
                <w:szCs w:val="28"/>
                <w:vertAlign w:val="baseline"/>
              </w:rPr>
            </w:pPr>
          </w:p>
        </w:tc>
        <w:tc>
          <w:tcPr>
            <w:tcW w:w="1320" w:type="dxa"/>
            <w:gridSpan w:val="2"/>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2220" w:type="dxa"/>
            <w:gridSpan w:val="2"/>
            <w:vMerge w:val="continue"/>
            <w:vAlign w:val="top"/>
          </w:tcPr>
          <w:p>
            <w:pPr>
              <w:rPr>
                <w:color w:val="auto"/>
                <w:vertAlign w:val="baseline"/>
              </w:rPr>
            </w:pPr>
          </w:p>
        </w:tc>
        <w:tc>
          <w:tcPr>
            <w:tcW w:w="840" w:type="dxa"/>
            <w:vAlign w:val="top"/>
          </w:tcPr>
          <w:p>
            <w:pPr>
              <w:rPr>
                <w:color w:val="auto"/>
                <w:vertAlign w:val="baseline"/>
              </w:rPr>
            </w:pPr>
          </w:p>
        </w:tc>
        <w:tc>
          <w:tcPr>
            <w:tcW w:w="1170" w:type="dxa"/>
            <w:gridSpan w:val="2"/>
            <w:vAlign w:val="top"/>
          </w:tcPr>
          <w:p>
            <w:pPr>
              <w:rPr>
                <w:color w:val="auto"/>
                <w:vertAlign w:val="baseline"/>
              </w:rPr>
            </w:pPr>
          </w:p>
        </w:tc>
        <w:tc>
          <w:tcPr>
            <w:tcW w:w="975" w:type="dxa"/>
            <w:gridSpan w:val="2"/>
            <w:vAlign w:val="top"/>
          </w:tcPr>
          <w:p>
            <w:pPr>
              <w:rPr>
                <w:color w:val="auto"/>
                <w:vertAlign w:val="baseline"/>
              </w:rPr>
            </w:pPr>
          </w:p>
        </w:tc>
        <w:tc>
          <w:tcPr>
            <w:tcW w:w="1860" w:type="dxa"/>
            <w:gridSpan w:val="2"/>
            <w:vAlign w:val="top"/>
          </w:tcPr>
          <w:p>
            <w:pPr>
              <w:rPr>
                <w:color w:val="auto"/>
                <w:vertAlign w:val="baseline"/>
              </w:rPr>
            </w:pPr>
          </w:p>
        </w:tc>
        <w:tc>
          <w:tcPr>
            <w:tcW w:w="825" w:type="dxa"/>
            <w:vAlign w:val="top"/>
          </w:tcPr>
          <w:p>
            <w:pPr>
              <w:rPr>
                <w:color w:val="auto"/>
                <w:vertAlign w:val="baseline"/>
              </w:rPr>
            </w:pPr>
          </w:p>
        </w:tc>
        <w:tc>
          <w:tcPr>
            <w:tcW w:w="1320" w:type="dxa"/>
            <w:gridSpan w:val="2"/>
            <w:vAlign w:val="top"/>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9210" w:type="dxa"/>
            <w:gridSpan w:val="12"/>
            <w:vAlign w:val="top"/>
          </w:tcPr>
          <w:p>
            <w:pPr>
              <w:rPr>
                <w:color w:val="auto"/>
                <w:vertAlign w:val="baseline"/>
              </w:rPr>
            </w:pPr>
            <w:r>
              <w:rPr>
                <w:rFonts w:hint="default" w:ascii="Times New Roman" w:hAnsi="Times New Roman" w:cs="Times New Roman"/>
                <w:b/>
                <w:sz w:val="21"/>
                <w:szCs w:val="21"/>
              </w:rPr>
              <w:t>注：总分达到80分（含）以上为验收合格。</w:t>
            </w:r>
          </w:p>
        </w:tc>
      </w:tr>
    </w:tbl>
    <w:p>
      <w:pPr>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br w:type="page"/>
      </w:r>
    </w:p>
    <w:tbl>
      <w:tblPr>
        <w:tblStyle w:val="8"/>
        <w:tblW w:w="1535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
        <w:gridCol w:w="2473"/>
        <w:gridCol w:w="1217"/>
        <w:gridCol w:w="610"/>
        <w:gridCol w:w="631"/>
        <w:gridCol w:w="1241"/>
        <w:gridCol w:w="1020"/>
        <w:gridCol w:w="1020"/>
        <w:gridCol w:w="1541"/>
        <w:gridCol w:w="616"/>
        <w:gridCol w:w="1217"/>
        <w:gridCol w:w="616"/>
        <w:gridCol w:w="1381"/>
        <w:gridCol w:w="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黑体" w:hAnsi="宋体" w:eastAsia="黑体" w:cs="黑体"/>
                <w:i w:val="0"/>
                <w:iCs w:val="0"/>
                <w:color w:val="000000"/>
                <w:sz w:val="22"/>
                <w:szCs w:val="22"/>
                <w:u w:val="none"/>
                <w:lang w:val="en-US"/>
              </w:rPr>
            </w:pPr>
            <w:r>
              <w:rPr>
                <w:rFonts w:hint="eastAsia" w:ascii="黑体" w:hAnsi="黑体" w:eastAsia="黑体" w:cs="黑体"/>
                <w:i w:val="0"/>
                <w:color w:val="000000"/>
                <w:w w:val="100"/>
                <w:kern w:val="0"/>
                <w:sz w:val="32"/>
                <w:szCs w:val="32"/>
                <w:u w:val="none"/>
                <w:lang w:val="en-US" w:eastAsia="zh-CN" w:bidi="ar"/>
              </w:rPr>
              <w:t>附件2</w:t>
            </w:r>
          </w:p>
        </w:tc>
        <w:tc>
          <w:tcPr>
            <w:tcW w:w="1217"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gridSpan w:val="2"/>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41"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17"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381"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50"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133" w:type="dxa"/>
            <w:gridSpan w:val="13"/>
            <w:tcBorders>
              <w:top w:val="nil"/>
              <w:left w:val="nil"/>
              <w:bottom w:val="nil"/>
              <w:right w:val="nil"/>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黑体" w:hAnsi="宋体" w:eastAsia="黑体" w:cs="黑体"/>
                <w:b/>
                <w:bCs/>
                <w:i w:val="0"/>
                <w:iCs w:val="0"/>
                <w:color w:val="000000"/>
                <w:sz w:val="36"/>
                <w:szCs w:val="36"/>
                <w:u w:val="none"/>
              </w:rPr>
            </w:pPr>
            <w:r>
              <w:rPr>
                <w:rFonts w:hint="eastAsia" w:ascii="方正小标宋简体" w:hAnsi="方正小标宋简体" w:eastAsia="方正小标宋简体" w:cs="方正小标宋简体"/>
                <w:i w:val="0"/>
                <w:color w:val="000000"/>
                <w:w w:val="100"/>
                <w:kern w:val="0"/>
                <w:sz w:val="44"/>
                <w:szCs w:val="44"/>
                <w:u w:val="none"/>
                <w:lang w:val="en-US" w:eastAsia="zh-CN" w:bidi="ar"/>
              </w:rPr>
              <w:t>崇明区水产养殖绿色生产储备基地创建评分表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133" w:type="dxa"/>
            <w:gridSpan w:val="13"/>
            <w:tcBorders>
              <w:top w:val="nil"/>
              <w:left w:val="nil"/>
              <w:bottom w:val="nil"/>
              <w:right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备注：本表适用于每个创建单元（如**合作社、**企业等）开展自评、区级开展验收检查。其中，带“※”项必须满足要求，否则不予通过。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12" w:space="0"/>
              <w:left w:val="single" w:color="000000" w:sz="12" w:space="0"/>
              <w:bottom w:val="single" w:color="000000" w:sz="12" w:space="0"/>
              <w:right w:val="nil"/>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基本信息</w:t>
            </w:r>
          </w:p>
        </w:tc>
        <w:tc>
          <w:tcPr>
            <w:tcW w:w="1217" w:type="dxa"/>
            <w:tcBorders>
              <w:top w:val="single" w:color="000000" w:sz="12" w:space="0"/>
              <w:left w:val="nil"/>
              <w:bottom w:val="nil"/>
              <w:right w:val="nil"/>
            </w:tcBorders>
            <w:shd w:val="clear" w:color="auto" w:fill="FFFFFF"/>
            <w:vAlign w:val="center"/>
          </w:tcPr>
          <w:p>
            <w:pPr>
              <w:jc w:val="left"/>
              <w:rPr>
                <w:rFonts w:hint="eastAsia" w:ascii="黑体" w:hAnsi="宋体" w:eastAsia="黑体" w:cs="黑体"/>
                <w:i w:val="0"/>
                <w:iCs w:val="0"/>
                <w:color w:val="000000"/>
                <w:sz w:val="18"/>
                <w:szCs w:val="18"/>
                <w:u w:val="none"/>
              </w:rPr>
            </w:pPr>
          </w:p>
        </w:tc>
        <w:tc>
          <w:tcPr>
            <w:tcW w:w="1241" w:type="dxa"/>
            <w:gridSpan w:val="2"/>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41"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17"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381"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50"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12" w:space="0"/>
              <w:left w:val="single" w:color="000000" w:sz="12" w:space="0"/>
              <w:bottom w:val="nil"/>
              <w:right w:val="nil"/>
            </w:tcBorders>
            <w:shd w:val="clear" w:color="auto" w:fill="FFFFFF"/>
            <w:vAlign w:val="center"/>
          </w:tcPr>
          <w:p>
            <w:pPr>
              <w:jc w:val="left"/>
              <w:rPr>
                <w:rFonts w:hint="eastAsia" w:ascii="等线" w:hAnsi="等线" w:eastAsia="等线" w:cs="等线"/>
                <w:i w:val="0"/>
                <w:iCs w:val="0"/>
                <w:color w:val="000000"/>
                <w:sz w:val="20"/>
                <w:szCs w:val="20"/>
                <w:u w:val="none"/>
              </w:rPr>
            </w:pPr>
          </w:p>
        </w:tc>
        <w:tc>
          <w:tcPr>
            <w:tcW w:w="1827" w:type="dxa"/>
            <w:gridSpan w:val="2"/>
            <w:tcBorders>
              <w:top w:val="single" w:color="000000" w:sz="12" w:space="0"/>
              <w:left w:val="nil"/>
              <w:bottom w:val="nil"/>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基地名称</w:t>
            </w:r>
          </w:p>
        </w:tc>
        <w:tc>
          <w:tcPr>
            <w:tcW w:w="2892" w:type="dxa"/>
            <w:gridSpan w:val="3"/>
            <w:tcBorders>
              <w:top w:val="single" w:color="000000" w:sz="12" w:space="0"/>
              <w:left w:val="nil"/>
              <w:bottom w:val="nil"/>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kern w:val="0"/>
                <w:sz w:val="20"/>
                <w:szCs w:val="20"/>
                <w:u w:val="none"/>
                <w:lang w:val="en-US" w:eastAsia="zh-CN" w:bidi="ar"/>
              </w:rPr>
            </w:pPr>
          </w:p>
        </w:tc>
        <w:tc>
          <w:tcPr>
            <w:tcW w:w="1020" w:type="dxa"/>
            <w:tcBorders>
              <w:top w:val="single" w:color="000000" w:sz="12" w:space="0"/>
              <w:left w:val="nil"/>
              <w:bottom w:val="nil"/>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kern w:val="0"/>
                <w:sz w:val="20"/>
                <w:szCs w:val="20"/>
                <w:u w:val="none"/>
                <w:lang w:val="en-US" w:eastAsia="zh-CN" w:bidi="ar"/>
              </w:rPr>
            </w:pPr>
          </w:p>
        </w:tc>
        <w:tc>
          <w:tcPr>
            <w:tcW w:w="1541" w:type="dxa"/>
            <w:tcBorders>
              <w:top w:val="single" w:color="000000" w:sz="12" w:space="0"/>
              <w:left w:val="nil"/>
              <w:bottom w:val="nil"/>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所在乡镇</w:t>
            </w:r>
          </w:p>
        </w:tc>
        <w:tc>
          <w:tcPr>
            <w:tcW w:w="2449" w:type="dxa"/>
            <w:gridSpan w:val="3"/>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2931" w:type="dxa"/>
            <w:gridSpan w:val="2"/>
            <w:tcBorders>
              <w:top w:val="single" w:color="000000" w:sz="12" w:space="0"/>
              <w:left w:val="nil"/>
              <w:bottom w:val="nil"/>
              <w:right w:val="single" w:color="000000" w:sz="12" w:space="0"/>
            </w:tcBorders>
            <w:shd w:val="clear" w:color="auto" w:fill="FFFFFF"/>
            <w:vAlign w:val="center"/>
          </w:tcPr>
          <w:p>
            <w:pPr>
              <w:jc w:val="lef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nil"/>
              <w:left w:val="single" w:color="000000" w:sz="12" w:space="0"/>
              <w:bottom w:val="nil"/>
              <w:right w:val="nil"/>
            </w:tcBorders>
            <w:shd w:val="clear" w:color="auto" w:fill="FFFFFF"/>
            <w:vAlign w:val="center"/>
          </w:tcPr>
          <w:p>
            <w:pPr>
              <w:jc w:val="left"/>
              <w:rPr>
                <w:rFonts w:hint="eastAsia" w:ascii="等线" w:hAnsi="等线" w:eastAsia="等线" w:cs="等线"/>
                <w:i w:val="0"/>
                <w:iCs w:val="0"/>
                <w:color w:val="000000"/>
                <w:sz w:val="20"/>
                <w:szCs w:val="20"/>
                <w:u w:val="none"/>
              </w:rPr>
            </w:pPr>
          </w:p>
        </w:tc>
        <w:tc>
          <w:tcPr>
            <w:tcW w:w="1827" w:type="dxa"/>
            <w:gridSpan w:val="2"/>
            <w:tcBorders>
              <w:top w:val="nil"/>
              <w:left w:val="nil"/>
              <w:bottom w:val="nil"/>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基地负责人</w:t>
            </w:r>
          </w:p>
        </w:tc>
        <w:tc>
          <w:tcPr>
            <w:tcW w:w="2892" w:type="dxa"/>
            <w:gridSpan w:val="3"/>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kern w:val="0"/>
                <w:sz w:val="20"/>
                <w:szCs w:val="20"/>
                <w:u w:val="none"/>
                <w:lang w:val="en-US" w:eastAsia="zh-CN" w:bidi="ar"/>
              </w:rPr>
            </w:pPr>
          </w:p>
        </w:tc>
        <w:tc>
          <w:tcPr>
            <w:tcW w:w="1020" w:type="dxa"/>
            <w:tcBorders>
              <w:top w:val="nil"/>
              <w:left w:val="nil"/>
              <w:bottom w:val="nil"/>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kern w:val="0"/>
                <w:sz w:val="20"/>
                <w:szCs w:val="20"/>
                <w:u w:val="none"/>
                <w:lang w:val="en-US" w:eastAsia="zh-CN" w:bidi="ar"/>
              </w:rPr>
            </w:pPr>
          </w:p>
        </w:tc>
        <w:tc>
          <w:tcPr>
            <w:tcW w:w="1541" w:type="dxa"/>
            <w:tcBorders>
              <w:top w:val="nil"/>
              <w:left w:val="nil"/>
              <w:bottom w:val="nil"/>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联系方式</w:t>
            </w:r>
          </w:p>
        </w:tc>
        <w:tc>
          <w:tcPr>
            <w:tcW w:w="2449" w:type="dxa"/>
            <w:gridSpan w:val="3"/>
            <w:tcBorders>
              <w:top w:val="single" w:color="000000" w:sz="4" w:space="0"/>
              <w:left w:val="nil"/>
              <w:bottom w:val="single" w:color="000000" w:sz="4" w:space="0"/>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1381"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1550" w:type="dxa"/>
            <w:tcBorders>
              <w:top w:val="nil"/>
              <w:left w:val="nil"/>
              <w:bottom w:val="nil"/>
              <w:right w:val="single" w:color="000000" w:sz="12" w:space="0"/>
            </w:tcBorders>
            <w:shd w:val="clear" w:color="auto" w:fill="FFFFFF"/>
            <w:vAlign w:val="center"/>
          </w:tcPr>
          <w:p>
            <w:pPr>
              <w:jc w:val="lef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nil"/>
              <w:left w:val="single" w:color="000000" w:sz="12" w:space="0"/>
              <w:bottom w:val="nil"/>
              <w:right w:val="nil"/>
            </w:tcBorders>
            <w:shd w:val="clear" w:color="auto" w:fill="FFFFFF"/>
            <w:vAlign w:val="center"/>
          </w:tcPr>
          <w:p>
            <w:pPr>
              <w:jc w:val="left"/>
              <w:rPr>
                <w:rFonts w:hint="eastAsia" w:ascii="等线" w:hAnsi="等线" w:eastAsia="等线" w:cs="等线"/>
                <w:i w:val="0"/>
                <w:iCs w:val="0"/>
                <w:color w:val="000000"/>
                <w:sz w:val="20"/>
                <w:szCs w:val="20"/>
                <w:u w:val="none"/>
              </w:rPr>
            </w:pPr>
          </w:p>
        </w:tc>
        <w:tc>
          <w:tcPr>
            <w:tcW w:w="2458" w:type="dxa"/>
            <w:gridSpan w:val="3"/>
            <w:tcBorders>
              <w:top w:val="nil"/>
              <w:left w:val="nil"/>
              <w:bottom w:val="nil"/>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养殖品种及规模</w:t>
            </w:r>
          </w:p>
        </w:tc>
        <w:tc>
          <w:tcPr>
            <w:tcW w:w="1241" w:type="dxa"/>
            <w:tcBorders>
              <w:top w:val="nil"/>
              <w:left w:val="nil"/>
              <w:bottom w:val="nil"/>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kern w:val="0"/>
                <w:sz w:val="20"/>
                <w:szCs w:val="20"/>
                <w:u w:val="none"/>
                <w:lang w:val="en-US" w:eastAsia="zh-CN" w:bidi="ar"/>
              </w:rPr>
            </w:pPr>
          </w:p>
        </w:tc>
        <w:tc>
          <w:tcPr>
            <w:tcW w:w="1020" w:type="dxa"/>
            <w:tcBorders>
              <w:top w:val="nil"/>
              <w:left w:val="nil"/>
              <w:bottom w:val="nil"/>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kern w:val="0"/>
                <w:sz w:val="20"/>
                <w:szCs w:val="20"/>
                <w:u w:val="none"/>
                <w:lang w:val="en-US" w:eastAsia="zh-CN" w:bidi="ar"/>
              </w:rPr>
            </w:pPr>
          </w:p>
        </w:tc>
        <w:tc>
          <w:tcPr>
            <w:tcW w:w="1020" w:type="dxa"/>
            <w:tcBorders>
              <w:top w:val="nil"/>
              <w:left w:val="nil"/>
              <w:bottom w:val="nil"/>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kern w:val="0"/>
                <w:sz w:val="20"/>
                <w:szCs w:val="20"/>
                <w:u w:val="none"/>
                <w:lang w:val="en-US" w:eastAsia="zh-CN" w:bidi="ar"/>
              </w:rPr>
            </w:pPr>
          </w:p>
        </w:tc>
        <w:tc>
          <w:tcPr>
            <w:tcW w:w="1541" w:type="dxa"/>
            <w:tcBorders>
              <w:top w:val="nil"/>
              <w:left w:val="nil"/>
              <w:bottom w:val="nil"/>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kern w:val="0"/>
                <w:sz w:val="20"/>
                <w:szCs w:val="20"/>
                <w:u w:val="none"/>
                <w:lang w:val="en-US" w:eastAsia="zh-CN" w:bidi="ar"/>
              </w:rPr>
            </w:pPr>
          </w:p>
        </w:tc>
        <w:tc>
          <w:tcPr>
            <w:tcW w:w="616" w:type="dxa"/>
            <w:tcBorders>
              <w:top w:val="nil"/>
              <w:left w:val="nil"/>
              <w:bottom w:val="nil"/>
              <w:right w:val="nil"/>
            </w:tcBorders>
            <w:shd w:val="clear" w:color="auto" w:fill="FFFFFF"/>
            <w:vAlign w:val="center"/>
          </w:tcPr>
          <w:p>
            <w:pPr>
              <w:jc w:val="left"/>
              <w:rPr>
                <w:rFonts w:hint="eastAsia" w:ascii="等线" w:hAnsi="等线" w:eastAsia="等线" w:cs="等线"/>
                <w:i w:val="0"/>
                <w:iCs w:val="0"/>
                <w:color w:val="000000"/>
                <w:sz w:val="20"/>
                <w:szCs w:val="20"/>
                <w:u w:val="none"/>
              </w:rPr>
            </w:pPr>
          </w:p>
        </w:tc>
        <w:tc>
          <w:tcPr>
            <w:tcW w:w="1217" w:type="dxa"/>
            <w:tcBorders>
              <w:top w:val="nil"/>
              <w:left w:val="nil"/>
              <w:bottom w:val="nil"/>
              <w:right w:val="nil"/>
            </w:tcBorders>
            <w:shd w:val="clear" w:color="auto" w:fill="FFFFFF"/>
            <w:vAlign w:val="center"/>
          </w:tcPr>
          <w:p>
            <w:pPr>
              <w:jc w:val="left"/>
              <w:rPr>
                <w:rFonts w:hint="eastAsia" w:ascii="等线" w:hAnsi="等线" w:eastAsia="等线" w:cs="等线"/>
                <w:i w:val="0"/>
                <w:iCs w:val="0"/>
                <w:color w:val="000000"/>
                <w:sz w:val="20"/>
                <w:szCs w:val="20"/>
                <w:u w:val="none"/>
              </w:rPr>
            </w:pPr>
          </w:p>
        </w:tc>
        <w:tc>
          <w:tcPr>
            <w:tcW w:w="616" w:type="dxa"/>
            <w:tcBorders>
              <w:top w:val="nil"/>
              <w:left w:val="nil"/>
              <w:bottom w:val="nil"/>
              <w:right w:val="nil"/>
            </w:tcBorders>
            <w:shd w:val="clear" w:color="auto" w:fill="FFFFFF"/>
            <w:vAlign w:val="center"/>
          </w:tcPr>
          <w:p>
            <w:pPr>
              <w:jc w:val="left"/>
              <w:rPr>
                <w:rFonts w:hint="eastAsia" w:ascii="等线" w:hAnsi="等线" w:eastAsia="等线" w:cs="等线"/>
                <w:i w:val="0"/>
                <w:iCs w:val="0"/>
                <w:color w:val="000000"/>
                <w:sz w:val="20"/>
                <w:szCs w:val="20"/>
                <w:u w:val="none"/>
              </w:rPr>
            </w:pPr>
          </w:p>
        </w:tc>
        <w:tc>
          <w:tcPr>
            <w:tcW w:w="1381" w:type="dxa"/>
            <w:tcBorders>
              <w:top w:val="nil"/>
              <w:left w:val="nil"/>
              <w:bottom w:val="nil"/>
              <w:right w:val="nil"/>
            </w:tcBorders>
            <w:shd w:val="clear" w:color="auto" w:fill="FFFFFF"/>
            <w:vAlign w:val="center"/>
          </w:tcPr>
          <w:p>
            <w:pPr>
              <w:jc w:val="left"/>
              <w:rPr>
                <w:rFonts w:hint="eastAsia" w:ascii="等线" w:hAnsi="等线" w:eastAsia="等线" w:cs="等线"/>
                <w:i w:val="0"/>
                <w:iCs w:val="0"/>
                <w:color w:val="000000"/>
                <w:sz w:val="20"/>
                <w:szCs w:val="20"/>
                <w:u w:val="none"/>
              </w:rPr>
            </w:pPr>
          </w:p>
        </w:tc>
        <w:tc>
          <w:tcPr>
            <w:tcW w:w="1550" w:type="dxa"/>
            <w:tcBorders>
              <w:top w:val="nil"/>
              <w:left w:val="nil"/>
              <w:bottom w:val="nil"/>
              <w:right w:val="single" w:color="000000" w:sz="12" w:space="0"/>
            </w:tcBorders>
            <w:shd w:val="clear" w:color="auto" w:fill="FFFFFF"/>
            <w:vAlign w:val="center"/>
          </w:tcPr>
          <w:p>
            <w:pPr>
              <w:jc w:val="lef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12" w:space="0"/>
              <w:left w:val="single" w:color="000000" w:sz="12" w:space="0"/>
              <w:bottom w:val="nil"/>
              <w:right w:val="nil"/>
            </w:tcBorders>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一、基地建设（15分）</w:t>
            </w:r>
          </w:p>
        </w:tc>
        <w:tc>
          <w:tcPr>
            <w:tcW w:w="1217"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gridSpan w:val="2"/>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41"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17"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381"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50" w:type="dxa"/>
            <w:tcBorders>
              <w:top w:val="single" w:color="000000" w:sz="12" w:space="0"/>
              <w:left w:val="nil"/>
              <w:bottom w:val="nil"/>
              <w:right w:val="single" w:color="000000" w:sz="12" w:space="0"/>
            </w:tcBorders>
            <w:shd w:val="clear" w:color="auto" w:fill="FFFFFF"/>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12" w:space="0"/>
              <w:left w:val="single" w:color="000000" w:sz="12"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指标</w:t>
            </w:r>
          </w:p>
        </w:tc>
        <w:tc>
          <w:tcPr>
            <w:tcW w:w="7280" w:type="dxa"/>
            <w:gridSpan w:val="7"/>
            <w:tcBorders>
              <w:top w:val="single" w:color="000000" w:sz="12"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要求</w:t>
            </w:r>
          </w:p>
        </w:tc>
        <w:tc>
          <w:tcPr>
            <w:tcW w:w="616"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分值</w:t>
            </w:r>
          </w:p>
        </w:tc>
        <w:tc>
          <w:tcPr>
            <w:tcW w:w="1217"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考核方式</w:t>
            </w:r>
          </w:p>
        </w:tc>
        <w:tc>
          <w:tcPr>
            <w:tcW w:w="616"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得分</w:t>
            </w:r>
          </w:p>
        </w:tc>
        <w:tc>
          <w:tcPr>
            <w:tcW w:w="2931" w:type="dxa"/>
            <w:gridSpan w:val="2"/>
            <w:tcBorders>
              <w:top w:val="single" w:color="000000" w:sz="12" w:space="0"/>
              <w:left w:val="nil"/>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扣分情况说明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restart"/>
            <w:tcBorders>
              <w:top w:val="single" w:color="000000" w:sz="4" w:space="0"/>
              <w:left w:val="single" w:color="000000" w:sz="12"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 基地选址</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（7分）</w:t>
            </w:r>
          </w:p>
        </w:tc>
        <w:tc>
          <w:tcPr>
            <w:tcW w:w="7280" w:type="dxa"/>
            <w:gridSpan w:val="7"/>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1.1.1 水源充沛、生产环境良好，周边无工矿企业、垃圾填埋场等污染源，进水口与排水口相距200米以上</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资料查阅</w:t>
            </w:r>
          </w:p>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240" w:lineRule="exact"/>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240" w:lineRule="exact"/>
              <w:jc w:val="lef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single" w:color="000000" w:sz="4" w:space="0"/>
              <w:left w:val="single" w:color="000000" w:sz="12"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240" w:lineRule="exact"/>
              <w:jc w:val="center"/>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1.1.2 符合崇明区养殖水域规划</w:t>
            </w:r>
          </w:p>
        </w:tc>
        <w:tc>
          <w:tcPr>
            <w:tcW w:w="61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资料查阅</w:t>
            </w:r>
          </w:p>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240" w:lineRule="exact"/>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240" w:lineRule="exact"/>
              <w:jc w:val="lef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restart"/>
            <w:tcBorders>
              <w:top w:val="single" w:color="000000" w:sz="4" w:space="0"/>
              <w:left w:val="single" w:color="000000" w:sz="12" w:space="0"/>
              <w:bottom w:val="single" w:color="000000" w:sz="12"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 基础设施配套</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（8分）</w:t>
            </w: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1.2.1 具有养殖用水预处理设施设备且正常使用，进水排水系统分设且无明显毁损</w:t>
            </w:r>
          </w:p>
        </w:tc>
        <w:tc>
          <w:tcPr>
            <w:tcW w:w="61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21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240" w:lineRule="exact"/>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240" w:lineRule="exact"/>
              <w:jc w:val="lef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240" w:lineRule="exact"/>
              <w:jc w:val="center"/>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1.2.2 配备独立的饲料、药品存放空间，并保持阴凉干燥、通风透气</w:t>
            </w:r>
          </w:p>
        </w:tc>
        <w:tc>
          <w:tcPr>
            <w:tcW w:w="61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21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240" w:lineRule="exact"/>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240" w:lineRule="exact"/>
              <w:jc w:val="lef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240" w:lineRule="exact"/>
              <w:jc w:val="center"/>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1.2.3 配套节水、养殖尾水和废弃物处理等设施；配备必要的水质监测与病害检测仪器设备</w:t>
            </w:r>
          </w:p>
        </w:tc>
        <w:tc>
          <w:tcPr>
            <w:tcW w:w="616" w:type="dxa"/>
            <w:tcBorders>
              <w:top w:val="single" w:color="000000" w:sz="4" w:space="0"/>
              <w:left w:val="nil"/>
              <w:bottom w:val="single" w:color="000000" w:sz="12"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217" w:type="dxa"/>
            <w:tcBorders>
              <w:top w:val="single" w:color="000000" w:sz="4" w:space="0"/>
              <w:left w:val="nil"/>
              <w:bottom w:val="single" w:color="000000" w:sz="12"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240" w:lineRule="exact"/>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single" w:color="000000" w:sz="4" w:space="0"/>
              <w:bottom w:val="single" w:color="000000" w:sz="12" w:space="0"/>
              <w:right w:val="single" w:color="000000" w:sz="12"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240" w:lineRule="exact"/>
              <w:jc w:val="lef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8" w:space="0"/>
              <w:left w:val="single" w:color="000000" w:sz="12" w:space="0"/>
              <w:bottom w:val="single" w:color="000000" w:sz="12" w:space="0"/>
              <w:right w:val="nil"/>
            </w:tcBorders>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二、生产管理（31分）</w:t>
            </w:r>
          </w:p>
        </w:tc>
        <w:tc>
          <w:tcPr>
            <w:tcW w:w="1217" w:type="dxa"/>
            <w:tcBorders>
              <w:top w:val="single" w:color="000000" w:sz="8"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gridSpan w:val="2"/>
            <w:tcBorders>
              <w:top w:val="single" w:color="000000" w:sz="8"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tcBorders>
              <w:top w:val="single" w:color="000000" w:sz="8"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single" w:color="000000" w:sz="8"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single" w:color="000000" w:sz="8"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41" w:type="dxa"/>
            <w:tcBorders>
              <w:top w:val="single" w:color="000000" w:sz="8"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single" w:color="000000" w:sz="8"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17" w:type="dxa"/>
            <w:tcBorders>
              <w:top w:val="single" w:color="000000" w:sz="8"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single" w:color="000000" w:sz="8"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381" w:type="dxa"/>
            <w:tcBorders>
              <w:top w:val="single" w:color="000000" w:sz="8"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50" w:type="dxa"/>
            <w:tcBorders>
              <w:top w:val="single" w:color="000000" w:sz="8" w:space="0"/>
              <w:left w:val="nil"/>
              <w:bottom w:val="single" w:color="000000" w:sz="12" w:space="0"/>
              <w:right w:val="single" w:color="000000" w:sz="12" w:space="0"/>
            </w:tcBorders>
            <w:shd w:val="clear" w:color="auto" w:fill="FFFFFF"/>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12" w:space="0"/>
              <w:left w:val="single" w:color="000000" w:sz="12"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指标</w:t>
            </w:r>
          </w:p>
        </w:tc>
        <w:tc>
          <w:tcPr>
            <w:tcW w:w="7280" w:type="dxa"/>
            <w:gridSpan w:val="7"/>
            <w:tcBorders>
              <w:top w:val="single" w:color="000000" w:sz="12"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要求</w:t>
            </w:r>
          </w:p>
        </w:tc>
        <w:tc>
          <w:tcPr>
            <w:tcW w:w="616"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分值</w:t>
            </w:r>
          </w:p>
        </w:tc>
        <w:tc>
          <w:tcPr>
            <w:tcW w:w="1217"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考核方式</w:t>
            </w:r>
          </w:p>
        </w:tc>
        <w:tc>
          <w:tcPr>
            <w:tcW w:w="616"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得分</w:t>
            </w:r>
          </w:p>
        </w:tc>
        <w:tc>
          <w:tcPr>
            <w:tcW w:w="2931" w:type="dxa"/>
            <w:gridSpan w:val="2"/>
            <w:tcBorders>
              <w:top w:val="single" w:color="000000" w:sz="12" w:space="0"/>
              <w:left w:val="nil"/>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扣分情况说明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4" w:space="0"/>
              <w:left w:val="single" w:color="000000" w:sz="12"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 苗种</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（4分）</w:t>
            </w:r>
          </w:p>
        </w:tc>
        <w:tc>
          <w:tcPr>
            <w:tcW w:w="7280" w:type="dxa"/>
            <w:gridSpan w:val="7"/>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2.1.1 水产苗种采购自持有《水产苗种生产许可证》的单位，引进苗种应当符合《水产苗种管理办法》，异地引进的需要检疫的水产苗种应当经检疫合格</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资料查阅</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nil"/>
              <w:bottom w:val="single" w:color="000000" w:sz="4" w:space="0"/>
              <w:right w:val="single" w:color="000000" w:sz="12"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 渔用饲料</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（6分）</w:t>
            </w: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rPr>
                <w:rFonts w:hint="eastAsia" w:ascii="等线" w:hAnsi="等线" w:eastAsia="等线" w:cs="等线"/>
                <w:b/>
                <w:bCs/>
                <w:i w:val="0"/>
                <w:iCs w:val="0"/>
                <w:color w:val="000000"/>
                <w:sz w:val="20"/>
                <w:szCs w:val="20"/>
                <w:u w:val="none"/>
              </w:rPr>
            </w:pPr>
            <w:r>
              <w:rPr>
                <w:rStyle w:val="13"/>
                <w:lang w:val="en-US" w:eastAsia="zh-CN" w:bidi="ar"/>
              </w:rPr>
              <w:t>※</w:t>
            </w:r>
            <w:r>
              <w:rPr>
                <w:rStyle w:val="14"/>
                <w:lang w:val="en-US" w:eastAsia="zh-CN" w:bidi="ar"/>
              </w:rPr>
              <w:t>2.2.1 购买和使用符合《饲料和饲料添加剂管理条例》《饲料添加剂安全使用规范》的要求，或符合绿色食品生产要求的产品，有购买凭证</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资料查阅</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nil"/>
              <w:bottom w:val="single" w:color="000000" w:sz="4" w:space="0"/>
              <w:right w:val="single" w:color="000000" w:sz="12"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exac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center"/>
              <w:outlineLvl w:val="9"/>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2.2.2 渔用饲料的质量、卫生和安全指标达标，产品可溯源</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nil"/>
              <w:bottom w:val="single" w:color="000000" w:sz="4" w:space="0"/>
              <w:right w:val="single" w:color="000000" w:sz="12"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exac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center"/>
              <w:outlineLvl w:val="9"/>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2.2.3 饲料来源正规，对生态环境无不良影响</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nil"/>
              <w:bottom w:val="single" w:color="000000" w:sz="4" w:space="0"/>
              <w:right w:val="single" w:color="000000" w:sz="12"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restart"/>
            <w:tcBorders>
              <w:top w:val="single" w:color="000000" w:sz="4" w:space="0"/>
              <w:left w:val="single" w:color="000000" w:sz="12"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 渔药使用</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（7分）</w:t>
            </w: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left"/>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w:t>
            </w:r>
            <w:r>
              <w:rPr>
                <w:rStyle w:val="14"/>
                <w:lang w:val="en-US" w:eastAsia="zh-CN" w:bidi="ar"/>
              </w:rPr>
              <w:t>2.3.1 执行《兽药管理条例》及相关规定，严格遵守水产养殖用投入品使用白名单制度，严格保存用药记录档案</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资料查阅</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nil"/>
              <w:bottom w:val="single" w:color="000000" w:sz="4" w:space="0"/>
              <w:right w:val="single" w:color="000000" w:sz="12"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single" w:color="000000" w:sz="4" w:space="0"/>
              <w:left w:val="single" w:color="000000" w:sz="12" w:space="0"/>
              <w:bottom w:val="nil"/>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center"/>
              <w:outlineLvl w:val="9"/>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2.3.2 严格遵守休药期规定，凭借水生动物类执业兽医或本区渔业乡村兽医开具的处方购买和使用兽用处方药（水产用），处方笺保存2年以上</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资料查阅</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nil"/>
              <w:bottom w:val="single" w:color="000000" w:sz="4" w:space="0"/>
              <w:right w:val="single" w:color="000000" w:sz="12"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single" w:color="000000" w:sz="4" w:space="0"/>
              <w:left w:val="single" w:color="000000" w:sz="12" w:space="0"/>
              <w:bottom w:val="nil"/>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center"/>
              <w:outlineLvl w:val="9"/>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2.3.3 抗菌药物执行上海市《关于加强本市养殖业抗菌药物使用管理的通知》</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资料查阅</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nil"/>
              <w:bottom w:val="single" w:color="000000" w:sz="4" w:space="0"/>
              <w:right w:val="single" w:color="000000" w:sz="12"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4" w:space="0"/>
              <w:left w:val="single" w:color="000000" w:sz="12"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 疫苗</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（2分）</w:t>
            </w: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2.4.1 使用正规合法水产养殖用疫苗</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资料查阅</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nil"/>
              <w:bottom w:val="single" w:color="000000" w:sz="4" w:space="0"/>
              <w:right w:val="single" w:color="000000" w:sz="12"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 水质管理</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（5分）</w:t>
            </w: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2.5.1 清池消毒或调节水质所用的物质符合水产养殖用投入品使用白名单制度</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资料查阅</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nil"/>
              <w:bottom w:val="single" w:color="000000" w:sz="4" w:space="0"/>
              <w:right w:val="single" w:color="000000" w:sz="12"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center"/>
              <w:outlineLvl w:val="9"/>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2.5.2 定期检测养殖环境水质状况，水质状况符合水产养殖要求</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nil"/>
              <w:bottom w:val="single" w:color="000000" w:sz="4" w:space="0"/>
              <w:right w:val="single" w:color="000000" w:sz="12"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restart"/>
            <w:tcBorders>
              <w:top w:val="single" w:color="000000" w:sz="4" w:space="0"/>
              <w:left w:val="single" w:color="000000" w:sz="12"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 收获</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（5分）</w:t>
            </w: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2.6.1 严格执行水产养殖用投入品使用休药期规定</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nil"/>
              <w:bottom w:val="single" w:color="000000" w:sz="4" w:space="0"/>
              <w:right w:val="single" w:color="000000" w:sz="12"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Autospacing="0" w:line="0" w:lineRule="atLeas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single" w:color="000000" w:sz="4" w:space="0"/>
              <w:left w:val="single" w:color="000000" w:sz="12" w:space="0"/>
              <w:bottom w:val="nil"/>
              <w:right w:val="single" w:color="000000" w:sz="4" w:space="0"/>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2.6.2 采用恰当的方式以减少养殖产品的应激反应和机械损伤</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nil"/>
              <w:bottom w:val="single" w:color="000000" w:sz="4" w:space="0"/>
              <w:right w:val="single" w:color="000000" w:sz="12" w:space="0"/>
            </w:tcBorders>
            <w:shd w:val="clear" w:color="auto" w:fill="FFFFFF"/>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4" w:space="0"/>
              <w:left w:val="single" w:color="000000" w:sz="12" w:space="0"/>
              <w:bottom w:val="nil"/>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top"/>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 无害化处理</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（2分）</w:t>
            </w: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left"/>
              <w:textAlignment w:val="center"/>
              <w:outlineLvl w:val="9"/>
              <w:rPr>
                <w:rFonts w:hint="eastAsia" w:ascii="等线" w:hAnsi="等线" w:eastAsia="等线" w:cs="等线"/>
                <w:b/>
                <w:bCs/>
                <w:i w:val="0"/>
                <w:iCs w:val="0"/>
                <w:color w:val="000000"/>
                <w:sz w:val="20"/>
                <w:szCs w:val="20"/>
                <w:u w:val="none"/>
              </w:rPr>
            </w:pPr>
            <w:r>
              <w:rPr>
                <w:rStyle w:val="13"/>
                <w:lang w:val="en-US" w:eastAsia="zh-CN" w:bidi="ar"/>
              </w:rPr>
              <w:t>※</w:t>
            </w:r>
            <w:r>
              <w:rPr>
                <w:rStyle w:val="14"/>
                <w:lang w:val="en-US" w:eastAsia="zh-CN" w:bidi="ar"/>
              </w:rPr>
              <w:t>2.7.1 染疫、病死或死因不明的产品应当按照《染疫水生动物无害化处理规程》要求进行无害化处理，不得随意处置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资料查阅</w:t>
            </w:r>
          </w:p>
          <w:p>
            <w:pPr>
              <w:keepNext w:val="0"/>
              <w:keepLines w:val="0"/>
              <w:pageBreakBefore w:val="0"/>
              <w:widowControl/>
              <w:suppressLineNumbers w:val="0"/>
              <w:kinsoku/>
              <w:wordWrap/>
              <w:overflowPunct/>
              <w:topLinePunct w:val="0"/>
              <w:autoSpaceDE/>
              <w:autoSpaceDN/>
              <w:bidi w:val="0"/>
              <w:adjustRightInd/>
              <w:snapToGrid/>
              <w:spacing w:after="0" w:afterAutospacing="0" w:line="240" w:lineRule="exact"/>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nil"/>
              <w:bottom w:val="single" w:color="000000" w:sz="4" w:space="0"/>
              <w:right w:val="single" w:color="000000" w:sz="12" w:space="0"/>
            </w:tcBorders>
            <w:shd w:val="clear" w:color="auto" w:fill="FFFFFF"/>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12" w:space="0"/>
              <w:left w:val="single" w:color="000000" w:sz="12" w:space="0"/>
              <w:bottom w:val="single" w:color="000000" w:sz="12" w:space="0"/>
              <w:right w:val="nil"/>
            </w:tcBorders>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三、污染防治（14分）</w:t>
            </w:r>
          </w:p>
        </w:tc>
        <w:tc>
          <w:tcPr>
            <w:tcW w:w="1217" w:type="dxa"/>
            <w:tcBorders>
              <w:top w:val="single" w:color="000000" w:sz="12"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gridSpan w:val="2"/>
            <w:tcBorders>
              <w:top w:val="single" w:color="000000" w:sz="12"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tcBorders>
              <w:top w:val="single" w:color="000000" w:sz="12"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single" w:color="000000" w:sz="12"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single" w:color="000000" w:sz="12"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41" w:type="dxa"/>
            <w:tcBorders>
              <w:top w:val="single" w:color="000000" w:sz="12"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single" w:color="000000" w:sz="12"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17" w:type="dxa"/>
            <w:tcBorders>
              <w:top w:val="single" w:color="000000" w:sz="12"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single" w:color="000000" w:sz="12"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381" w:type="dxa"/>
            <w:tcBorders>
              <w:top w:val="single" w:color="000000" w:sz="12" w:space="0"/>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50" w:type="dxa"/>
            <w:tcBorders>
              <w:top w:val="single" w:color="000000" w:sz="12" w:space="0"/>
              <w:left w:val="nil"/>
              <w:bottom w:val="single" w:color="000000" w:sz="12" w:space="0"/>
              <w:right w:val="single" w:color="000000" w:sz="12" w:space="0"/>
            </w:tcBorders>
            <w:shd w:val="clear" w:color="auto" w:fill="FFFFFF"/>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12" w:space="0"/>
              <w:left w:val="single" w:color="000000" w:sz="12"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指标</w:t>
            </w:r>
          </w:p>
        </w:tc>
        <w:tc>
          <w:tcPr>
            <w:tcW w:w="7280" w:type="dxa"/>
            <w:gridSpan w:val="7"/>
            <w:tcBorders>
              <w:top w:val="single" w:color="000000" w:sz="12"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要求</w:t>
            </w:r>
          </w:p>
        </w:tc>
        <w:tc>
          <w:tcPr>
            <w:tcW w:w="616"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分值</w:t>
            </w:r>
          </w:p>
        </w:tc>
        <w:tc>
          <w:tcPr>
            <w:tcW w:w="1217"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考核方式</w:t>
            </w:r>
          </w:p>
        </w:tc>
        <w:tc>
          <w:tcPr>
            <w:tcW w:w="616"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得分</w:t>
            </w:r>
          </w:p>
        </w:tc>
        <w:tc>
          <w:tcPr>
            <w:tcW w:w="2931" w:type="dxa"/>
            <w:gridSpan w:val="2"/>
            <w:tcBorders>
              <w:top w:val="single" w:color="000000" w:sz="12" w:space="0"/>
              <w:left w:val="nil"/>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扣分情况说明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restart"/>
            <w:tcBorders>
              <w:top w:val="single" w:color="000000" w:sz="4" w:space="0"/>
              <w:left w:val="single" w:color="000000" w:sz="12"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 养殖尾水</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（12分）</w:t>
            </w: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w:t>
            </w:r>
            <w:r>
              <w:rPr>
                <w:rStyle w:val="14"/>
                <w:lang w:val="en-US" w:eastAsia="zh-CN" w:bidi="ar"/>
              </w:rPr>
              <w:t>3.1.1 养殖尾水排放应符合《淡水池塘养殖水排放要求》（SC/T 9101）</w:t>
            </w:r>
          </w:p>
        </w:tc>
        <w:tc>
          <w:tcPr>
            <w:tcW w:w="61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资料查阅</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left"/>
              <w:outlineLvl w:val="9"/>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nil"/>
              <w:bottom w:val="single" w:color="000000" w:sz="4" w:space="0"/>
              <w:right w:val="single" w:color="000000" w:sz="12"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outlineLvl w:val="9"/>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single" w:color="000000" w:sz="4" w:space="0"/>
              <w:left w:val="single" w:color="000000" w:sz="12" w:space="0"/>
              <w:bottom w:val="nil"/>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center"/>
              <w:outlineLvl w:val="9"/>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b/>
                <w:bCs/>
                <w:i w:val="0"/>
                <w:iCs w:val="0"/>
                <w:color w:val="000000"/>
                <w:sz w:val="20"/>
                <w:szCs w:val="20"/>
                <w:u w:val="none"/>
              </w:rPr>
            </w:pPr>
            <w:r>
              <w:rPr>
                <w:rStyle w:val="13"/>
                <w:lang w:val="en-US" w:eastAsia="zh-CN" w:bidi="ar"/>
              </w:rPr>
              <w:t>※</w:t>
            </w:r>
            <w:r>
              <w:rPr>
                <w:rStyle w:val="14"/>
                <w:lang w:val="en-US" w:eastAsia="zh-CN" w:bidi="ar"/>
              </w:rPr>
              <w:t>3.1.2 排入污管的符合《污水综合排放标准》（DB31/199）要求，排入公共自然水域的符合《淡水池塘养殖水排放要求》（SC/T 9101）要求，循环利用于农业生产的符合《农田灌溉水质标准》（GB 5084）要求或地方标准</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资料查阅</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left"/>
              <w:outlineLvl w:val="9"/>
              <w:rPr>
                <w:rFonts w:hint="eastAsia" w:ascii="等线" w:hAnsi="等线" w:eastAsia="等线" w:cs="等线"/>
                <w:i w:val="0"/>
                <w:iCs w:val="0"/>
                <w:color w:val="000000"/>
                <w:sz w:val="20"/>
                <w:szCs w:val="20"/>
                <w:u w:val="none"/>
              </w:rPr>
            </w:pPr>
          </w:p>
        </w:tc>
        <w:tc>
          <w:tcPr>
            <w:tcW w:w="1381" w:type="dxa"/>
            <w:tcBorders>
              <w:top w:val="single" w:color="000000" w:sz="4" w:space="0"/>
              <w:left w:val="nil"/>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outlineLvl w:val="9"/>
              <w:rPr>
                <w:rFonts w:hint="eastAsia" w:ascii="等线" w:hAnsi="等线" w:eastAsia="等线" w:cs="等线"/>
                <w:i w:val="0"/>
                <w:iCs w:val="0"/>
                <w:color w:val="000000"/>
                <w:sz w:val="20"/>
                <w:szCs w:val="20"/>
                <w:u w:val="none"/>
              </w:rPr>
            </w:pPr>
          </w:p>
        </w:tc>
        <w:tc>
          <w:tcPr>
            <w:tcW w:w="1550" w:type="dxa"/>
            <w:tcBorders>
              <w:top w:val="single" w:color="000000" w:sz="4" w:space="0"/>
              <w:left w:val="nil"/>
              <w:bottom w:val="single" w:color="000000" w:sz="4" w:space="0"/>
              <w:right w:val="single" w:color="000000" w:sz="12"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outlineLvl w:val="9"/>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single" w:color="000000" w:sz="4" w:space="0"/>
              <w:left w:val="single" w:color="000000" w:sz="12" w:space="0"/>
              <w:bottom w:val="nil"/>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center"/>
              <w:outlineLvl w:val="9"/>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3.1.3 养殖尾水基本实现循环综合利用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资料查阅</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left"/>
              <w:outlineLvl w:val="9"/>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nil"/>
              <w:bottom w:val="single" w:color="000000" w:sz="4" w:space="0"/>
              <w:right w:val="single" w:color="000000" w:sz="12"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outlineLvl w:val="9"/>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4" w:space="0"/>
              <w:left w:val="single" w:color="000000" w:sz="12"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 废弃包装物回收</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（2分）</w:t>
            </w: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w:t>
            </w:r>
            <w:r>
              <w:rPr>
                <w:rStyle w:val="14"/>
                <w:lang w:val="en-US" w:eastAsia="zh-CN" w:bidi="ar"/>
              </w:rPr>
              <w:t>3.2.1 废弃包装物回收率达100%</w:t>
            </w:r>
          </w:p>
        </w:tc>
        <w:tc>
          <w:tcPr>
            <w:tcW w:w="61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资料查阅</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left"/>
              <w:outlineLvl w:val="9"/>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left"/>
              <w:outlineLvl w:val="9"/>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12" w:space="0"/>
              <w:left w:val="single" w:color="000000" w:sz="12" w:space="0"/>
              <w:bottom w:val="nil"/>
              <w:right w:val="nil"/>
            </w:tcBorders>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四、监测评估（6分）</w:t>
            </w:r>
          </w:p>
        </w:tc>
        <w:tc>
          <w:tcPr>
            <w:tcW w:w="1217"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gridSpan w:val="2"/>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41"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17"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381"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50" w:type="dxa"/>
            <w:tcBorders>
              <w:top w:val="single" w:color="000000" w:sz="12" w:space="0"/>
              <w:left w:val="nil"/>
              <w:bottom w:val="nil"/>
              <w:right w:val="single" w:color="000000" w:sz="12" w:space="0"/>
            </w:tcBorders>
            <w:shd w:val="clear" w:color="auto" w:fill="FFFFFF"/>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12" w:space="0"/>
              <w:left w:val="single" w:color="000000" w:sz="12"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指标</w:t>
            </w:r>
          </w:p>
        </w:tc>
        <w:tc>
          <w:tcPr>
            <w:tcW w:w="7280" w:type="dxa"/>
            <w:gridSpan w:val="7"/>
            <w:tcBorders>
              <w:top w:val="single" w:color="000000" w:sz="12"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要求</w:t>
            </w:r>
          </w:p>
        </w:tc>
        <w:tc>
          <w:tcPr>
            <w:tcW w:w="616"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分值</w:t>
            </w:r>
          </w:p>
        </w:tc>
        <w:tc>
          <w:tcPr>
            <w:tcW w:w="1217"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考核方式</w:t>
            </w:r>
          </w:p>
        </w:tc>
        <w:tc>
          <w:tcPr>
            <w:tcW w:w="616"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得分</w:t>
            </w:r>
          </w:p>
        </w:tc>
        <w:tc>
          <w:tcPr>
            <w:tcW w:w="2931" w:type="dxa"/>
            <w:gridSpan w:val="2"/>
            <w:tcBorders>
              <w:top w:val="single" w:color="000000" w:sz="12" w:space="0"/>
              <w:left w:val="nil"/>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扣分情况说明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4" w:space="0"/>
              <w:left w:val="single" w:color="000000" w:sz="12"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 监测评估</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（6分）</w:t>
            </w:r>
          </w:p>
        </w:tc>
        <w:tc>
          <w:tcPr>
            <w:tcW w:w="7280" w:type="dxa"/>
            <w:gridSpan w:val="7"/>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w:t>
            </w:r>
            <w:r>
              <w:rPr>
                <w:rStyle w:val="14"/>
                <w:lang w:val="en-US" w:eastAsia="zh-CN" w:bidi="ar"/>
              </w:rPr>
              <w:t>4.1.1 每年按《淡水池塘养殖水排放要求》（SC/T 9101）标准指标对养殖尾水开展监测</w:t>
            </w:r>
          </w:p>
        </w:tc>
        <w:tc>
          <w:tcPr>
            <w:tcW w:w="61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资料查阅</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single" w:color="000000" w:sz="4" w:space="0"/>
              <w:bottom w:val="single" w:color="000000" w:sz="4" w:space="0"/>
              <w:right w:val="single" w:color="000000" w:sz="12" w:space="0"/>
            </w:tcBorders>
            <w:shd w:val="clear" w:color="auto" w:fill="FFFFFF"/>
            <w:vAlign w:val="center"/>
          </w:tcPr>
          <w:p>
            <w:pPr>
              <w:jc w:val="lef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133" w:type="dxa"/>
            <w:gridSpan w:val="13"/>
            <w:tcBorders>
              <w:top w:val="single" w:color="000000" w:sz="12" w:space="0"/>
              <w:left w:val="single" w:color="000000" w:sz="12" w:space="0"/>
              <w:bottom w:val="nil"/>
              <w:right w:val="nil"/>
            </w:tcBorders>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五、管理制度（34分）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12" w:space="0"/>
              <w:left w:val="single" w:color="000000" w:sz="12"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指标</w:t>
            </w:r>
          </w:p>
        </w:tc>
        <w:tc>
          <w:tcPr>
            <w:tcW w:w="7280" w:type="dxa"/>
            <w:gridSpan w:val="7"/>
            <w:tcBorders>
              <w:top w:val="single" w:color="000000" w:sz="12"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要求</w:t>
            </w:r>
          </w:p>
        </w:tc>
        <w:tc>
          <w:tcPr>
            <w:tcW w:w="616"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分值</w:t>
            </w:r>
          </w:p>
        </w:tc>
        <w:tc>
          <w:tcPr>
            <w:tcW w:w="1217"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考核方式</w:t>
            </w:r>
          </w:p>
        </w:tc>
        <w:tc>
          <w:tcPr>
            <w:tcW w:w="616"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得分</w:t>
            </w:r>
          </w:p>
        </w:tc>
        <w:tc>
          <w:tcPr>
            <w:tcW w:w="2931" w:type="dxa"/>
            <w:gridSpan w:val="2"/>
            <w:tcBorders>
              <w:top w:val="single" w:color="000000" w:sz="12" w:space="0"/>
              <w:left w:val="nil"/>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扣分情况说明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restart"/>
            <w:tcBorders>
              <w:top w:val="nil"/>
              <w:left w:val="single" w:color="000000" w:sz="12"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 规范生产制度</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（6分）</w:t>
            </w: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5.1.1 制定基地养殖产品养殖技术规程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资料查阅 现场查看</w:t>
            </w:r>
          </w:p>
        </w:tc>
        <w:tc>
          <w:tcPr>
            <w:tcW w:w="616"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center"/>
              <w:outlineLvl w:val="9"/>
              <w:rPr>
                <w:rFonts w:hint="eastAsia" w:ascii="黑体" w:hAnsi="宋体" w:eastAsia="黑体" w:cs="黑体"/>
                <w:i w:val="0"/>
                <w:iCs w:val="0"/>
                <w:color w:val="000000"/>
                <w:sz w:val="20"/>
                <w:szCs w:val="20"/>
                <w:u w:val="none"/>
              </w:rPr>
            </w:pPr>
          </w:p>
        </w:tc>
        <w:tc>
          <w:tcPr>
            <w:tcW w:w="1381" w:type="dxa"/>
            <w:tcBorders>
              <w:top w:val="nil"/>
              <w:left w:val="nil"/>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center"/>
              <w:outlineLvl w:val="9"/>
              <w:rPr>
                <w:rFonts w:hint="eastAsia" w:ascii="黑体" w:hAnsi="宋体" w:eastAsia="黑体" w:cs="黑体"/>
                <w:i w:val="0"/>
                <w:iCs w:val="0"/>
                <w:color w:val="000000"/>
                <w:sz w:val="20"/>
                <w:szCs w:val="20"/>
                <w:u w:val="none"/>
              </w:rPr>
            </w:pPr>
          </w:p>
        </w:tc>
        <w:tc>
          <w:tcPr>
            <w:tcW w:w="1550" w:type="dxa"/>
            <w:tcBorders>
              <w:top w:val="nil"/>
              <w:left w:val="nil"/>
              <w:bottom w:val="single" w:color="000000" w:sz="4" w:space="0"/>
              <w:right w:val="single" w:color="000000" w:sz="12"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nil"/>
              <w:left w:val="single" w:color="000000" w:sz="12"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center"/>
              <w:outlineLvl w:val="9"/>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5.1.2 应在墙体醒目位置悬挂各项规章制度，按规程进行标准化操作</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资料查阅 现场查看</w:t>
            </w:r>
          </w:p>
        </w:tc>
        <w:tc>
          <w:tcPr>
            <w:tcW w:w="616"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center"/>
              <w:outlineLvl w:val="9"/>
              <w:rPr>
                <w:rFonts w:hint="eastAsia" w:ascii="黑体" w:hAnsi="宋体" w:eastAsia="黑体" w:cs="黑体"/>
                <w:i w:val="0"/>
                <w:iCs w:val="0"/>
                <w:color w:val="000000"/>
                <w:sz w:val="20"/>
                <w:szCs w:val="20"/>
                <w:u w:val="none"/>
              </w:rPr>
            </w:pPr>
          </w:p>
        </w:tc>
        <w:tc>
          <w:tcPr>
            <w:tcW w:w="1381" w:type="dxa"/>
            <w:tcBorders>
              <w:top w:val="nil"/>
              <w:left w:val="nil"/>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spacing w:after="0" w:afterAutospacing="0" w:line="0" w:lineRule="atLeast"/>
              <w:jc w:val="center"/>
              <w:outlineLvl w:val="9"/>
              <w:rPr>
                <w:rFonts w:hint="eastAsia" w:ascii="黑体" w:hAnsi="宋体" w:eastAsia="黑体" w:cs="黑体"/>
                <w:i w:val="0"/>
                <w:iCs w:val="0"/>
                <w:color w:val="000000"/>
                <w:sz w:val="20"/>
                <w:szCs w:val="20"/>
                <w:u w:val="none"/>
              </w:rPr>
            </w:pPr>
          </w:p>
        </w:tc>
        <w:tc>
          <w:tcPr>
            <w:tcW w:w="1550" w:type="dxa"/>
            <w:tcBorders>
              <w:top w:val="nil"/>
              <w:left w:val="nil"/>
              <w:bottom w:val="single" w:color="000000" w:sz="4" w:space="0"/>
              <w:right w:val="single" w:color="000000" w:sz="12"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restart"/>
            <w:tcBorders>
              <w:top w:val="nil"/>
              <w:left w:val="single" w:color="000000" w:sz="12"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 投入品管理制度</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（9分）</w:t>
            </w: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5.2.1 应建立农业投入品的采购、存放、安全使用、处置和管理制度，实行专人负责制度</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资料查阅 现场查看</w:t>
            </w:r>
          </w:p>
        </w:tc>
        <w:tc>
          <w:tcPr>
            <w:tcW w:w="616"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381" w:type="dxa"/>
            <w:tcBorders>
              <w:top w:val="nil"/>
              <w:left w:val="nil"/>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550" w:type="dxa"/>
            <w:tcBorders>
              <w:top w:val="nil"/>
              <w:left w:val="nil"/>
              <w:bottom w:val="single" w:color="000000" w:sz="4" w:space="0"/>
              <w:right w:val="single" w:color="000000" w:sz="12"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nil"/>
              <w:left w:val="single" w:color="000000" w:sz="12"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0" w:lineRule="atLeast"/>
              <w:jc w:val="center"/>
              <w:outlineLvl w:val="9"/>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5.2.2 设置专门的投入品仓库，投入品摆放整齐有序，并指定专人负责</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现场查看</w:t>
            </w:r>
          </w:p>
        </w:tc>
        <w:tc>
          <w:tcPr>
            <w:tcW w:w="616"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381" w:type="dxa"/>
            <w:tcBorders>
              <w:top w:val="nil"/>
              <w:left w:val="nil"/>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550" w:type="dxa"/>
            <w:tcBorders>
              <w:top w:val="nil"/>
              <w:left w:val="nil"/>
              <w:bottom w:val="single" w:color="000000" w:sz="4" w:space="0"/>
              <w:right w:val="single" w:color="000000" w:sz="12"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nil"/>
              <w:left w:val="single" w:color="000000" w:sz="12"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0" w:lineRule="atLeast"/>
              <w:jc w:val="center"/>
              <w:outlineLvl w:val="9"/>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5.2.3 建立投入品出入库台账，台账填写及时清除，归档整齐有序</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资料查阅</w:t>
            </w:r>
          </w:p>
        </w:tc>
        <w:tc>
          <w:tcPr>
            <w:tcW w:w="616"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381" w:type="dxa"/>
            <w:tcBorders>
              <w:top w:val="nil"/>
              <w:left w:val="nil"/>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550" w:type="dxa"/>
            <w:tcBorders>
              <w:top w:val="nil"/>
              <w:left w:val="nil"/>
              <w:bottom w:val="single" w:color="000000" w:sz="4" w:space="0"/>
              <w:right w:val="single" w:color="000000" w:sz="12"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 档案管理制度     （3分）</w:t>
            </w: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5.3.1 基地产品质量安全标准、生产技术规程、生产档案、产品质量检测报告、工作总结等文件资料齐全、完整，并分类立卷归档保存</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资料查阅</w:t>
            </w:r>
          </w:p>
        </w:tc>
        <w:tc>
          <w:tcPr>
            <w:tcW w:w="616"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381" w:type="dxa"/>
            <w:tcBorders>
              <w:top w:val="nil"/>
              <w:left w:val="nil"/>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550" w:type="dxa"/>
            <w:tcBorders>
              <w:top w:val="nil"/>
              <w:left w:val="nil"/>
              <w:bottom w:val="single" w:color="000000" w:sz="4" w:space="0"/>
              <w:right w:val="single" w:color="000000" w:sz="12"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restart"/>
            <w:tcBorders>
              <w:top w:val="nil"/>
              <w:left w:val="single" w:color="000000" w:sz="12"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5.4 产品检测与</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产地准出制度</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（5分）</w:t>
            </w: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5.4.1 制定健全的检测管理制度，实施快检或定量检测</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资料查阅 现场查看</w:t>
            </w:r>
          </w:p>
        </w:tc>
        <w:tc>
          <w:tcPr>
            <w:tcW w:w="616"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381" w:type="dxa"/>
            <w:tcBorders>
              <w:top w:val="nil"/>
              <w:left w:val="nil"/>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550" w:type="dxa"/>
            <w:tcBorders>
              <w:top w:val="nil"/>
              <w:left w:val="nil"/>
              <w:bottom w:val="single" w:color="000000" w:sz="4" w:space="0"/>
              <w:right w:val="single" w:color="000000" w:sz="12"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nil"/>
              <w:left w:val="single" w:color="000000" w:sz="12"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0" w:lineRule="atLeast"/>
              <w:jc w:val="center"/>
              <w:outlineLvl w:val="9"/>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w:t>
            </w:r>
            <w:r>
              <w:rPr>
                <w:rStyle w:val="14"/>
                <w:lang w:val="en-US" w:eastAsia="zh-CN" w:bidi="ar"/>
              </w:rPr>
              <w:t>5.4.2 实施食用农产品承诺达标合格证制度，应用神农口袋电子化开证打印，并随产品附证销售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资料查阅 现场查看</w:t>
            </w:r>
          </w:p>
        </w:tc>
        <w:tc>
          <w:tcPr>
            <w:tcW w:w="616"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381" w:type="dxa"/>
            <w:tcBorders>
              <w:top w:val="nil"/>
              <w:left w:val="nil"/>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550" w:type="dxa"/>
            <w:tcBorders>
              <w:top w:val="nil"/>
              <w:left w:val="nil"/>
              <w:bottom w:val="single" w:color="000000" w:sz="4" w:space="0"/>
              <w:right w:val="single" w:color="000000" w:sz="12"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restart"/>
            <w:tcBorders>
              <w:top w:val="nil"/>
              <w:left w:val="single" w:color="000000" w:sz="12"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5.5 质量可追溯制度</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（5分）</w:t>
            </w: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5.5.1 建立产品质量可追溯制度，实现产品质量信息可追溯</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资料查阅 现场查看</w:t>
            </w:r>
          </w:p>
        </w:tc>
        <w:tc>
          <w:tcPr>
            <w:tcW w:w="616"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381" w:type="dxa"/>
            <w:tcBorders>
              <w:top w:val="nil"/>
              <w:left w:val="nil"/>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550" w:type="dxa"/>
            <w:tcBorders>
              <w:top w:val="nil"/>
              <w:left w:val="nil"/>
              <w:bottom w:val="single" w:color="000000" w:sz="4" w:space="0"/>
              <w:right w:val="single" w:color="000000" w:sz="12"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nil"/>
              <w:left w:val="single" w:color="000000" w:sz="12"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0" w:lineRule="atLeast"/>
              <w:jc w:val="center"/>
              <w:outlineLvl w:val="9"/>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5.5.2 采用信息化管理手段追溯生产过程，准确记录生产全过程，追溯信息完整，实行专人负责制度</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资料查阅 现场查看</w:t>
            </w:r>
          </w:p>
        </w:tc>
        <w:tc>
          <w:tcPr>
            <w:tcW w:w="616"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381" w:type="dxa"/>
            <w:tcBorders>
              <w:top w:val="nil"/>
              <w:left w:val="nil"/>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550" w:type="dxa"/>
            <w:tcBorders>
              <w:top w:val="nil"/>
              <w:left w:val="nil"/>
              <w:bottom w:val="single" w:color="000000" w:sz="4" w:space="0"/>
              <w:right w:val="single" w:color="000000" w:sz="12"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restart"/>
            <w:tcBorders>
              <w:top w:val="nil"/>
              <w:left w:val="single" w:color="000000" w:sz="12"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5.6 岗位管理制度</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（3分）</w:t>
            </w: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5.6.1 制定专人负责制度，设立技术管理员等岗位，协调管理</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资料查阅 现场查看</w:t>
            </w:r>
          </w:p>
        </w:tc>
        <w:tc>
          <w:tcPr>
            <w:tcW w:w="616"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381" w:type="dxa"/>
            <w:tcBorders>
              <w:top w:val="nil"/>
              <w:left w:val="nil"/>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550" w:type="dxa"/>
            <w:tcBorders>
              <w:top w:val="nil"/>
              <w:left w:val="nil"/>
              <w:bottom w:val="single" w:color="000000" w:sz="4" w:space="0"/>
              <w:right w:val="single" w:color="000000" w:sz="12"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nil"/>
              <w:left w:val="single" w:color="000000" w:sz="12"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0" w:lineRule="atLeast"/>
              <w:jc w:val="center"/>
              <w:outlineLvl w:val="9"/>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5.6.2 设专人定期检查质量和卫生情况，定期清理、消毒和通风</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资料查阅 现场查看</w:t>
            </w:r>
          </w:p>
        </w:tc>
        <w:tc>
          <w:tcPr>
            <w:tcW w:w="616"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381" w:type="dxa"/>
            <w:tcBorders>
              <w:top w:val="nil"/>
              <w:left w:val="nil"/>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550" w:type="dxa"/>
            <w:tcBorders>
              <w:top w:val="nil"/>
              <w:left w:val="nil"/>
              <w:bottom w:val="single" w:color="000000" w:sz="4" w:space="0"/>
              <w:right w:val="single" w:color="000000" w:sz="12"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nil"/>
              <w:left w:val="single" w:color="000000" w:sz="12"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0" w:lineRule="atLeast"/>
              <w:jc w:val="center"/>
              <w:outlineLvl w:val="9"/>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5.6.3 对职工进行质量管理体系培训，使其理解掌握质量管理和岗位要求</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资料查阅 现场查看</w:t>
            </w:r>
          </w:p>
        </w:tc>
        <w:tc>
          <w:tcPr>
            <w:tcW w:w="616"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381" w:type="dxa"/>
            <w:tcBorders>
              <w:top w:val="nil"/>
              <w:left w:val="nil"/>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550" w:type="dxa"/>
            <w:tcBorders>
              <w:top w:val="nil"/>
              <w:left w:val="nil"/>
              <w:bottom w:val="single" w:color="000000" w:sz="4" w:space="0"/>
              <w:right w:val="single" w:color="000000" w:sz="12"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restart"/>
            <w:tcBorders>
              <w:top w:val="nil"/>
              <w:left w:val="single" w:color="000000" w:sz="12" w:space="0"/>
              <w:bottom w:val="single" w:color="000000" w:sz="12"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5.7 环境管理制度</w:t>
            </w:r>
          </w:p>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（3分）</w:t>
            </w: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5.7.1 制定场容场貌管理制度</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资料查阅 现场查看</w:t>
            </w:r>
          </w:p>
        </w:tc>
        <w:tc>
          <w:tcPr>
            <w:tcW w:w="616"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381" w:type="dxa"/>
            <w:tcBorders>
              <w:top w:val="nil"/>
              <w:left w:val="nil"/>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550" w:type="dxa"/>
            <w:tcBorders>
              <w:top w:val="nil"/>
              <w:left w:val="nil"/>
              <w:bottom w:val="single" w:color="000000" w:sz="4" w:space="0"/>
              <w:right w:val="single" w:color="000000" w:sz="12"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nil"/>
              <w:left w:val="single" w:color="000000" w:sz="12" w:space="0"/>
              <w:bottom w:val="single" w:color="000000" w:sz="12"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0" w:lineRule="atLeast"/>
              <w:jc w:val="center"/>
              <w:outlineLvl w:val="9"/>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5.7.2 制定农业废弃物处理及综合利用制度</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2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资料查阅 现场查看</w:t>
            </w:r>
          </w:p>
        </w:tc>
        <w:tc>
          <w:tcPr>
            <w:tcW w:w="616"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381" w:type="dxa"/>
            <w:tcBorders>
              <w:top w:val="nil"/>
              <w:left w:val="nil"/>
              <w:bottom w:val="single" w:color="000000" w:sz="4" w:space="0"/>
              <w:right w:val="nil"/>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550" w:type="dxa"/>
            <w:tcBorders>
              <w:top w:val="nil"/>
              <w:left w:val="nil"/>
              <w:bottom w:val="single" w:color="000000" w:sz="4" w:space="0"/>
              <w:right w:val="single" w:color="000000" w:sz="12"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vMerge w:val="continue"/>
            <w:tcBorders>
              <w:top w:val="nil"/>
              <w:left w:val="single" w:color="000000" w:sz="12" w:space="0"/>
              <w:bottom w:val="single" w:color="000000" w:sz="12"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afterAutospacing="0" w:line="0" w:lineRule="atLeast"/>
              <w:jc w:val="center"/>
              <w:outlineLvl w:val="9"/>
              <w:rPr>
                <w:rFonts w:hint="eastAsia" w:ascii="等线" w:hAnsi="等线" w:eastAsia="等线" w:cs="等线"/>
                <w:i w:val="0"/>
                <w:iCs w:val="0"/>
                <w:color w:val="000000"/>
                <w:sz w:val="20"/>
                <w:szCs w:val="20"/>
                <w:u w:val="none"/>
              </w:rPr>
            </w:pPr>
          </w:p>
        </w:tc>
        <w:tc>
          <w:tcPr>
            <w:tcW w:w="7280" w:type="dxa"/>
            <w:gridSpan w:val="7"/>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5.7.3 采取安全排放等生态环境保护措施</w:t>
            </w:r>
          </w:p>
        </w:tc>
        <w:tc>
          <w:tcPr>
            <w:tcW w:w="61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217" w:type="dxa"/>
            <w:tcBorders>
              <w:top w:val="single" w:color="000000" w:sz="4" w:space="0"/>
              <w:left w:val="nil"/>
              <w:bottom w:val="single" w:color="000000" w:sz="12"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center"/>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资料查阅 现场查看</w:t>
            </w:r>
          </w:p>
        </w:tc>
        <w:tc>
          <w:tcPr>
            <w:tcW w:w="616" w:type="dxa"/>
            <w:tcBorders>
              <w:top w:val="nil"/>
              <w:left w:val="single" w:color="000000" w:sz="4" w:space="0"/>
              <w:bottom w:val="single" w:color="000000" w:sz="12"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381" w:type="dxa"/>
            <w:tcBorders>
              <w:top w:val="nil"/>
              <w:left w:val="nil"/>
              <w:bottom w:val="single" w:color="000000" w:sz="12" w:space="0"/>
              <w:right w:val="nil"/>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550" w:type="dxa"/>
            <w:tcBorders>
              <w:top w:val="nil"/>
              <w:left w:val="nil"/>
              <w:bottom w:val="single" w:color="000000" w:sz="12" w:space="0"/>
              <w:right w:val="single" w:color="000000" w:sz="12"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nil"/>
              <w:left w:val="single" w:color="000000" w:sz="12" w:space="0"/>
              <w:bottom w:val="nil"/>
              <w:right w:val="nil"/>
            </w:tcBorders>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六、扣分项</w:t>
            </w:r>
          </w:p>
        </w:tc>
        <w:tc>
          <w:tcPr>
            <w:tcW w:w="1217"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gridSpan w:val="2"/>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41"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17"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381"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50" w:type="dxa"/>
            <w:tcBorders>
              <w:top w:val="nil"/>
              <w:left w:val="nil"/>
              <w:bottom w:val="nil"/>
              <w:right w:val="single" w:color="000000" w:sz="12" w:space="0"/>
            </w:tcBorders>
            <w:shd w:val="clear" w:color="auto" w:fill="FFFFFF"/>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12" w:space="0"/>
              <w:left w:val="single" w:color="000000" w:sz="12"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指标</w:t>
            </w:r>
          </w:p>
        </w:tc>
        <w:tc>
          <w:tcPr>
            <w:tcW w:w="7896" w:type="dxa"/>
            <w:gridSpan w:val="8"/>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描述</w:t>
            </w:r>
          </w:p>
        </w:tc>
        <w:tc>
          <w:tcPr>
            <w:tcW w:w="1217"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考核方式</w:t>
            </w:r>
          </w:p>
        </w:tc>
        <w:tc>
          <w:tcPr>
            <w:tcW w:w="616"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得分</w:t>
            </w:r>
          </w:p>
        </w:tc>
        <w:tc>
          <w:tcPr>
            <w:tcW w:w="2931" w:type="dxa"/>
            <w:gridSpan w:val="2"/>
            <w:tcBorders>
              <w:top w:val="single" w:color="000000" w:sz="12" w:space="0"/>
              <w:left w:val="nil"/>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扣分情况说明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扣分项</w:t>
            </w:r>
          </w:p>
        </w:tc>
        <w:tc>
          <w:tcPr>
            <w:tcW w:w="7896" w:type="dxa"/>
            <w:gridSpan w:val="8"/>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当年度每受到一次市区级农产品质量安全监管处罚扣2分；最多扣10分</w:t>
            </w:r>
          </w:p>
        </w:tc>
        <w:tc>
          <w:tcPr>
            <w:tcW w:w="1217" w:type="dxa"/>
            <w:tcBorders>
              <w:top w:val="nil"/>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资料查阅</w:t>
            </w:r>
          </w:p>
        </w:tc>
        <w:tc>
          <w:tcPr>
            <w:tcW w:w="616" w:type="dxa"/>
            <w:tcBorders>
              <w:top w:val="nil"/>
              <w:left w:val="single" w:color="000000" w:sz="4" w:space="0"/>
              <w:bottom w:val="single" w:color="000000" w:sz="12" w:space="0"/>
              <w:right w:val="nil"/>
            </w:tcBorders>
            <w:shd w:val="clear" w:color="auto" w:fill="FFFFFF"/>
            <w:vAlign w:val="center"/>
          </w:tcPr>
          <w:p>
            <w:pPr>
              <w:jc w:val="left"/>
              <w:rPr>
                <w:rFonts w:hint="eastAsia" w:ascii="等线" w:hAnsi="等线" w:eastAsia="等线" w:cs="等线"/>
                <w:i w:val="0"/>
                <w:iCs w:val="0"/>
                <w:color w:val="000000"/>
                <w:sz w:val="20"/>
                <w:szCs w:val="20"/>
                <w:u w:val="none"/>
              </w:rPr>
            </w:pPr>
          </w:p>
        </w:tc>
        <w:tc>
          <w:tcPr>
            <w:tcW w:w="2931" w:type="dxa"/>
            <w:gridSpan w:val="2"/>
            <w:tcBorders>
              <w:top w:val="single" w:color="000000" w:sz="4" w:space="0"/>
              <w:left w:val="single" w:color="000000" w:sz="4" w:space="0"/>
              <w:bottom w:val="single" w:color="000000" w:sz="12" w:space="0"/>
              <w:right w:val="single" w:color="000000" w:sz="12" w:space="0"/>
            </w:tcBorders>
            <w:shd w:val="clear" w:color="auto" w:fill="FFFFFF"/>
            <w:vAlign w:val="center"/>
          </w:tcPr>
          <w:p>
            <w:pPr>
              <w:jc w:val="lef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2473" w:type="dxa"/>
            <w:tcBorders>
              <w:top w:val="single" w:color="000000" w:sz="12" w:space="0"/>
              <w:left w:val="single" w:color="000000" w:sz="12" w:space="0"/>
              <w:bottom w:val="nil"/>
              <w:right w:val="nil"/>
            </w:tcBorders>
            <w:shd w:val="clear" w:color="000000"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七、综合评价意见</w:t>
            </w:r>
          </w:p>
        </w:tc>
        <w:tc>
          <w:tcPr>
            <w:tcW w:w="1217"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1241" w:type="dxa"/>
            <w:gridSpan w:val="2"/>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1241"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1020"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1020"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1541"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616"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1217"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616"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1381" w:type="dxa"/>
            <w:tcBorders>
              <w:top w:val="single" w:color="000000" w:sz="12" w:space="0"/>
              <w:left w:val="nil"/>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1550" w:type="dxa"/>
            <w:tcBorders>
              <w:top w:val="single" w:color="000000" w:sz="12" w:space="0"/>
              <w:left w:val="nil"/>
              <w:bottom w:val="nil"/>
              <w:right w:val="single" w:color="000000" w:sz="12" w:space="0"/>
            </w:tcBorders>
            <w:shd w:val="clear" w:color="auto" w:fill="FFFFFF"/>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6172" w:type="dxa"/>
            <w:gridSpan w:val="5"/>
            <w:tcBorders>
              <w:top w:val="single" w:color="000000" w:sz="12"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总体评分</w:t>
            </w:r>
          </w:p>
        </w:tc>
        <w:tc>
          <w:tcPr>
            <w:tcW w:w="8961" w:type="dxa"/>
            <w:gridSpan w:val="8"/>
            <w:tcBorders>
              <w:top w:val="single" w:color="000000" w:sz="12"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4931" w:type="dxa"/>
            <w:gridSpan w:val="4"/>
            <w:vMerge w:val="restart"/>
            <w:tcBorders>
              <w:top w:val="single" w:color="000000" w:sz="4" w:space="0"/>
              <w:left w:val="single" w:color="000000" w:sz="12" w:space="0"/>
              <w:bottom w:val="nil"/>
              <w:right w:val="nil"/>
            </w:tcBorders>
            <w:shd w:val="clear" w:color="auto" w:fill="FFFFFF"/>
            <w:vAlign w:val="center"/>
          </w:tcPr>
          <w:p>
            <w:pPr>
              <w:jc w:val="right"/>
              <w:rPr>
                <w:rFonts w:hint="eastAsia" w:ascii="等线" w:hAnsi="等线" w:eastAsia="等线" w:cs="等线"/>
                <w:i w:val="0"/>
                <w:iCs w:val="0"/>
                <w:color w:val="000000"/>
                <w:sz w:val="20"/>
                <w:szCs w:val="20"/>
                <w:u w:val="none"/>
              </w:rPr>
            </w:pPr>
          </w:p>
        </w:tc>
        <w:tc>
          <w:tcPr>
            <w:tcW w:w="1241" w:type="dxa"/>
            <w:vMerge w:val="restart"/>
            <w:tcBorders>
              <w:top w:val="single" w:color="000000" w:sz="4" w:space="0"/>
              <w:left w:val="nil"/>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8961" w:type="dxa"/>
            <w:gridSpan w:val="8"/>
            <w:vMerge w:val="restart"/>
            <w:tcBorders>
              <w:top w:val="single" w:color="000000" w:sz="4" w:space="0"/>
              <w:left w:val="single" w:color="000000" w:sz="4" w:space="0"/>
              <w:bottom w:val="nil"/>
              <w:right w:val="single" w:color="000000" w:sz="12"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0" w:lineRule="atLeast"/>
              <w:jc w:val="left"/>
              <w:textAlignment w:val="center"/>
              <w:outlineLvl w:val="9"/>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□优秀（总体评分≥90）</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□通过（80分≤总体评分＜90分）</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 xml:space="preserve">□不通过（总体评分＜80分）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4931" w:type="dxa"/>
            <w:gridSpan w:val="4"/>
            <w:vMerge w:val="continue"/>
            <w:tcBorders>
              <w:top w:val="single" w:color="000000" w:sz="4" w:space="0"/>
              <w:left w:val="single" w:color="000000" w:sz="12" w:space="0"/>
              <w:bottom w:val="nil"/>
              <w:right w:val="nil"/>
            </w:tcBorders>
            <w:shd w:val="clear" w:color="auto" w:fill="FFFFFF"/>
            <w:vAlign w:val="center"/>
          </w:tcPr>
          <w:p>
            <w:pPr>
              <w:jc w:val="right"/>
              <w:rPr>
                <w:rFonts w:hint="eastAsia" w:ascii="等线" w:hAnsi="等线" w:eastAsia="等线" w:cs="等线"/>
                <w:i w:val="0"/>
                <w:iCs w:val="0"/>
                <w:color w:val="000000"/>
                <w:sz w:val="20"/>
                <w:szCs w:val="20"/>
                <w:u w:val="none"/>
              </w:rPr>
            </w:pPr>
          </w:p>
        </w:tc>
        <w:tc>
          <w:tcPr>
            <w:tcW w:w="1241" w:type="dxa"/>
            <w:vMerge w:val="continue"/>
            <w:tcBorders>
              <w:top w:val="single" w:color="000000" w:sz="4" w:space="0"/>
              <w:left w:val="nil"/>
              <w:bottom w:val="nil"/>
              <w:right w:val="single" w:color="000000" w:sz="4" w:space="0"/>
            </w:tcBorders>
            <w:shd w:val="clear" w:color="auto" w:fill="FFFFFF"/>
            <w:vAlign w:val="center"/>
          </w:tcPr>
          <w:p>
            <w:pPr>
              <w:jc w:val="left"/>
              <w:rPr>
                <w:rFonts w:hint="eastAsia" w:ascii="等线" w:hAnsi="等线" w:eastAsia="等线" w:cs="等线"/>
                <w:i w:val="0"/>
                <w:iCs w:val="0"/>
                <w:color w:val="000000"/>
                <w:sz w:val="20"/>
                <w:szCs w:val="20"/>
                <w:u w:val="none"/>
              </w:rPr>
            </w:pPr>
          </w:p>
        </w:tc>
        <w:tc>
          <w:tcPr>
            <w:tcW w:w="8961" w:type="dxa"/>
            <w:gridSpan w:val="8"/>
            <w:vMerge w:val="continue"/>
            <w:tcBorders>
              <w:top w:val="single" w:color="000000" w:sz="4" w:space="0"/>
              <w:left w:val="single" w:color="000000" w:sz="4" w:space="0"/>
              <w:bottom w:val="nil"/>
              <w:right w:val="single" w:color="000000" w:sz="12" w:space="0"/>
            </w:tcBorders>
            <w:shd w:val="clear" w:color="auto" w:fill="FFFFFF"/>
            <w:vAlign w:val="center"/>
          </w:tcPr>
          <w:p>
            <w:pPr>
              <w:jc w:val="left"/>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133" w:type="dxa"/>
            <w:gridSpan w:val="13"/>
            <w:tcBorders>
              <w:top w:val="single" w:color="000000" w:sz="8" w:space="0"/>
              <w:left w:val="single" w:color="000000" w:sz="12" w:space="0"/>
              <w:bottom w:val="single" w:color="000000" w:sz="4" w:space="0"/>
              <w:right w:val="single" w:color="000000" w:sz="12" w:space="0"/>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Style w:val="15"/>
                <w:lang w:val="en-US" w:eastAsia="zh-CN" w:bidi="ar"/>
              </w:rPr>
              <w:t>总体结论及整改建议</w:t>
            </w:r>
            <w:r>
              <w:rPr>
                <w:rStyle w:val="16"/>
                <w:rFonts w:hAnsi="宋体"/>
                <w:lang w:val="en-US" w:eastAsia="zh-CN" w:bidi="ar"/>
              </w:rPr>
              <w:t>（从基地建设、生产管理、污染防治、监测评估、管理制度等方面做概括分析，突出基地在哪些方面有所提升，总结特色亮点，提出整改建议）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9"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133" w:type="dxa"/>
            <w:gridSpan w:val="13"/>
            <w:tcBorders>
              <w:top w:val="single" w:color="000000" w:sz="4" w:space="0"/>
              <w:left w:val="single" w:color="000000" w:sz="12" w:space="0"/>
              <w:bottom w:val="single" w:color="000000" w:sz="4" w:space="0"/>
              <w:right w:val="single" w:color="000000" w:sz="12" w:space="0"/>
            </w:tcBorders>
            <w:shd w:val="clear" w:color="auto" w:fill="FFFFFF"/>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133" w:type="dxa"/>
            <w:gridSpan w:val="13"/>
            <w:tcBorders>
              <w:top w:val="nil"/>
              <w:left w:val="single" w:color="000000" w:sz="12" w:space="0"/>
              <w:bottom w:val="nil"/>
              <w:right w:val="single" w:color="000000" w:sz="12" w:space="0"/>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考核组签名（3人以上）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nil"/>
              <w:left w:val="single" w:color="000000" w:sz="12" w:space="0"/>
              <w:bottom w:val="nil"/>
              <w:right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考核组成员：</w:t>
            </w:r>
          </w:p>
        </w:tc>
        <w:tc>
          <w:tcPr>
            <w:tcW w:w="1217"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gridSpan w:val="2"/>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1241"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41"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17"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381"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50" w:type="dxa"/>
            <w:tcBorders>
              <w:top w:val="nil"/>
              <w:left w:val="nil"/>
              <w:bottom w:val="nil"/>
              <w:right w:val="single" w:color="000000" w:sz="12" w:space="0"/>
            </w:tcBorders>
            <w:shd w:val="clear" w:color="auto" w:fill="FFFFFF"/>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nil"/>
              <w:left w:val="single" w:color="000000" w:sz="12" w:space="0"/>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1217"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gridSpan w:val="2"/>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1241"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41"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17"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381"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50" w:type="dxa"/>
            <w:tcBorders>
              <w:top w:val="nil"/>
              <w:left w:val="nil"/>
              <w:bottom w:val="nil"/>
              <w:right w:val="single" w:color="000000" w:sz="12" w:space="0"/>
            </w:tcBorders>
            <w:shd w:val="clear" w:color="auto" w:fill="FFFFFF"/>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22" w:type="dxa"/>
            <w:tcBorders>
              <w:top w:val="nil"/>
              <w:left w:val="nil"/>
              <w:bottom w:val="nil"/>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2473" w:type="dxa"/>
            <w:tcBorders>
              <w:top w:val="nil"/>
              <w:left w:val="single" w:color="000000" w:sz="12" w:space="0"/>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0"/>
                <w:szCs w:val="20"/>
                <w:u w:val="none"/>
              </w:rPr>
            </w:pPr>
          </w:p>
        </w:tc>
        <w:tc>
          <w:tcPr>
            <w:tcW w:w="1217" w:type="dxa"/>
            <w:tcBorders>
              <w:top w:val="nil"/>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gridSpan w:val="2"/>
            <w:tcBorders>
              <w:top w:val="nil"/>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41" w:type="dxa"/>
            <w:tcBorders>
              <w:top w:val="nil"/>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nil"/>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020" w:type="dxa"/>
            <w:tcBorders>
              <w:top w:val="nil"/>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41" w:type="dxa"/>
            <w:tcBorders>
              <w:top w:val="nil"/>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616" w:type="dxa"/>
            <w:tcBorders>
              <w:top w:val="nil"/>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217" w:type="dxa"/>
            <w:tcBorders>
              <w:top w:val="nil"/>
              <w:left w:val="nil"/>
              <w:bottom w:val="single" w:color="000000" w:sz="12" w:space="0"/>
              <w:right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考核日期：</w:t>
            </w:r>
          </w:p>
        </w:tc>
        <w:tc>
          <w:tcPr>
            <w:tcW w:w="616" w:type="dxa"/>
            <w:tcBorders>
              <w:top w:val="nil"/>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381" w:type="dxa"/>
            <w:tcBorders>
              <w:top w:val="nil"/>
              <w:left w:val="nil"/>
              <w:bottom w:val="single" w:color="000000" w:sz="12" w:space="0"/>
              <w:right w:val="nil"/>
            </w:tcBorders>
            <w:shd w:val="clear" w:color="auto" w:fill="FFFFFF"/>
            <w:vAlign w:val="center"/>
          </w:tcPr>
          <w:p>
            <w:pPr>
              <w:jc w:val="center"/>
              <w:rPr>
                <w:rFonts w:hint="eastAsia" w:ascii="等线" w:hAnsi="等线" w:eastAsia="等线" w:cs="等线"/>
                <w:i w:val="0"/>
                <w:iCs w:val="0"/>
                <w:color w:val="000000"/>
                <w:sz w:val="22"/>
                <w:szCs w:val="22"/>
                <w:u w:val="none"/>
              </w:rPr>
            </w:pPr>
          </w:p>
        </w:tc>
        <w:tc>
          <w:tcPr>
            <w:tcW w:w="1550" w:type="dxa"/>
            <w:tcBorders>
              <w:top w:val="nil"/>
              <w:left w:val="nil"/>
              <w:bottom w:val="single" w:color="000000" w:sz="12" w:space="0"/>
              <w:right w:val="single" w:color="000000" w:sz="12" w:space="0"/>
            </w:tcBorders>
            <w:shd w:val="clear" w:color="auto" w:fill="FFFFFF"/>
            <w:vAlign w:val="center"/>
          </w:tcPr>
          <w:p>
            <w:pPr>
              <w:jc w:val="center"/>
              <w:rPr>
                <w:rFonts w:hint="eastAsia" w:ascii="等线" w:hAnsi="等线" w:eastAsia="等线" w:cs="等线"/>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after="0" w:afterAutospacing="0" w:line="0" w:lineRule="atLeast"/>
        <w:textAlignment w:val="auto"/>
        <w:outlineLvl w:val="9"/>
        <w:rPr>
          <w:rFonts w:hint="default"/>
          <w:lang w:val="en-US" w:eastAsia="zh-CN"/>
        </w:rPr>
      </w:pPr>
    </w:p>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汉仪中圆B5"/>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decorative"/>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0ZGVkZWUzMTBlYmM3NDMzNzMzZDVmODgwM2NmOTgifQ=="/>
  </w:docVars>
  <w:rsids>
    <w:rsidRoot w:val="00B1175D"/>
    <w:rsid w:val="00032B0E"/>
    <w:rsid w:val="000902FE"/>
    <w:rsid w:val="0009282E"/>
    <w:rsid w:val="00225969"/>
    <w:rsid w:val="00291AD7"/>
    <w:rsid w:val="00312841"/>
    <w:rsid w:val="004C4C97"/>
    <w:rsid w:val="005B0703"/>
    <w:rsid w:val="005D12CB"/>
    <w:rsid w:val="005E32F4"/>
    <w:rsid w:val="008D0184"/>
    <w:rsid w:val="00A51558"/>
    <w:rsid w:val="00AE1B0A"/>
    <w:rsid w:val="00B1175D"/>
    <w:rsid w:val="00B9432D"/>
    <w:rsid w:val="00C54367"/>
    <w:rsid w:val="00C6076D"/>
    <w:rsid w:val="00CD2959"/>
    <w:rsid w:val="00D4483C"/>
    <w:rsid w:val="00E46B95"/>
    <w:rsid w:val="018F2EE2"/>
    <w:rsid w:val="024617F2"/>
    <w:rsid w:val="033523CB"/>
    <w:rsid w:val="05B71D9B"/>
    <w:rsid w:val="06B3637B"/>
    <w:rsid w:val="07972D2B"/>
    <w:rsid w:val="08B45A7C"/>
    <w:rsid w:val="0B970D88"/>
    <w:rsid w:val="0B980BE5"/>
    <w:rsid w:val="0BEF364A"/>
    <w:rsid w:val="0BF47D01"/>
    <w:rsid w:val="0D0562D2"/>
    <w:rsid w:val="0E236431"/>
    <w:rsid w:val="11916802"/>
    <w:rsid w:val="14E804E7"/>
    <w:rsid w:val="15453B8B"/>
    <w:rsid w:val="177644D0"/>
    <w:rsid w:val="17B2302E"/>
    <w:rsid w:val="18610CDC"/>
    <w:rsid w:val="1B5D0C99"/>
    <w:rsid w:val="1C0B00F2"/>
    <w:rsid w:val="1E0477D6"/>
    <w:rsid w:val="21F726B1"/>
    <w:rsid w:val="22AE2BD1"/>
    <w:rsid w:val="22F547C4"/>
    <w:rsid w:val="247342C7"/>
    <w:rsid w:val="25DA0320"/>
    <w:rsid w:val="267659EC"/>
    <w:rsid w:val="299D4796"/>
    <w:rsid w:val="2B0C0F7B"/>
    <w:rsid w:val="2C513D7B"/>
    <w:rsid w:val="2CA31516"/>
    <w:rsid w:val="2CFD5C2A"/>
    <w:rsid w:val="2DC53E53"/>
    <w:rsid w:val="2E056F0B"/>
    <w:rsid w:val="2E181234"/>
    <w:rsid w:val="2EED4C20"/>
    <w:rsid w:val="30B579BF"/>
    <w:rsid w:val="318B71BE"/>
    <w:rsid w:val="3218563E"/>
    <w:rsid w:val="356D6ABA"/>
    <w:rsid w:val="358843FB"/>
    <w:rsid w:val="3AAF1923"/>
    <w:rsid w:val="3BE47B2B"/>
    <w:rsid w:val="3BE9438F"/>
    <w:rsid w:val="3E02162D"/>
    <w:rsid w:val="3E152A33"/>
    <w:rsid w:val="3E5D7E2F"/>
    <w:rsid w:val="3EE35FAC"/>
    <w:rsid w:val="40905D53"/>
    <w:rsid w:val="40F63E08"/>
    <w:rsid w:val="45ED4675"/>
    <w:rsid w:val="46440991"/>
    <w:rsid w:val="46DFF619"/>
    <w:rsid w:val="49366D6C"/>
    <w:rsid w:val="49683C95"/>
    <w:rsid w:val="4EBF5388"/>
    <w:rsid w:val="521C59D9"/>
    <w:rsid w:val="52B934CF"/>
    <w:rsid w:val="53BC7135"/>
    <w:rsid w:val="54FE4BE1"/>
    <w:rsid w:val="57532989"/>
    <w:rsid w:val="5C11433C"/>
    <w:rsid w:val="5D5E6B65"/>
    <w:rsid w:val="606415E3"/>
    <w:rsid w:val="61DF9F34"/>
    <w:rsid w:val="63FA7A07"/>
    <w:rsid w:val="64381596"/>
    <w:rsid w:val="656C3DE9"/>
    <w:rsid w:val="6AEC45C4"/>
    <w:rsid w:val="6D394EF9"/>
    <w:rsid w:val="6F002A15"/>
    <w:rsid w:val="6F550E7A"/>
    <w:rsid w:val="72B03567"/>
    <w:rsid w:val="72C45265"/>
    <w:rsid w:val="73520AC2"/>
    <w:rsid w:val="745E029D"/>
    <w:rsid w:val="758331B5"/>
    <w:rsid w:val="798D734B"/>
    <w:rsid w:val="7CFD384D"/>
    <w:rsid w:val="7D2066FB"/>
    <w:rsid w:val="7DFD587C"/>
    <w:rsid w:val="7F0864D9"/>
    <w:rsid w:val="7F8B6996"/>
    <w:rsid w:val="BFD7810C"/>
    <w:rsid w:val="DF7AF819"/>
    <w:rsid w:val="DFAE3AF9"/>
    <w:rsid w:val="F7FBC95D"/>
    <w:rsid w:val="FEF91817"/>
    <w:rsid w:val="FFAE7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00" w:afterAutospacing="1"/>
      <w:jc w:val="both"/>
    </w:pPr>
    <w:rPr>
      <w:rFonts w:ascii="Times New Roman" w:hAnsi="Times New Roman" w:eastAsia="宋体" w:cs="Times New Roman"/>
      <w:kern w:val="2"/>
      <w:sz w:val="21"/>
      <w:szCs w:val="21"/>
      <w:lang w:val="en-US" w:eastAsia="zh-CN" w:bidi="ar-SA"/>
    </w:rPr>
  </w:style>
  <w:style w:type="paragraph" w:styleId="3">
    <w:name w:val="heading 2"/>
    <w:basedOn w:val="1"/>
    <w:next w:val="1"/>
    <w:unhideWhenUsed/>
    <w:qFormat/>
    <w:uiPriority w:val="0"/>
    <w:pPr>
      <w:keepNext/>
      <w:keepLines/>
      <w:spacing w:line="412" w:lineRule="auto"/>
      <w:outlineLvl w:val="1"/>
    </w:pPr>
    <w:rPr>
      <w:rFonts w:ascii="Arial" w:hAnsi="Arial" w:eastAsia="黑体"/>
      <w:b/>
      <w:sz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5">
    <w:name w:val="Body Text Indent"/>
    <w:basedOn w:val="1"/>
    <w:qFormat/>
    <w:uiPriority w:val="0"/>
    <w:pPr>
      <w:spacing w:after="120"/>
      <w:ind w:left="420"/>
    </w:pPr>
  </w:style>
  <w:style w:type="paragraph" w:styleId="6">
    <w:name w:val="Body Text 2"/>
    <w:basedOn w:val="1"/>
    <w:qFormat/>
    <w:uiPriority w:val="0"/>
    <w:pPr>
      <w:ind w:firstLine="1840"/>
    </w:p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01"/>
    <w:basedOn w:val="10"/>
    <w:qFormat/>
    <w:uiPriority w:val="0"/>
    <w:rPr>
      <w:rFonts w:hint="eastAsia" w:ascii="宋体" w:hAnsi="宋体" w:eastAsia="宋体" w:cs="宋体"/>
      <w:color w:val="000000"/>
      <w:sz w:val="28"/>
      <w:szCs w:val="28"/>
      <w:u w:val="none"/>
    </w:rPr>
  </w:style>
  <w:style w:type="character" w:customStyle="1" w:styleId="12">
    <w:name w:val="font31"/>
    <w:basedOn w:val="10"/>
    <w:qFormat/>
    <w:uiPriority w:val="0"/>
    <w:rPr>
      <w:rFonts w:hint="eastAsia" w:ascii="仿宋_GB2312" w:eastAsia="仿宋_GB2312" w:cs="仿宋_GB2312"/>
      <w:color w:val="000000"/>
      <w:sz w:val="28"/>
      <w:szCs w:val="28"/>
      <w:u w:val="none"/>
    </w:rPr>
  </w:style>
  <w:style w:type="character" w:customStyle="1" w:styleId="13">
    <w:name w:val="font12"/>
    <w:basedOn w:val="10"/>
    <w:qFormat/>
    <w:uiPriority w:val="0"/>
    <w:rPr>
      <w:rFonts w:hint="eastAsia" w:ascii="等线" w:hAnsi="等线" w:eastAsia="等线" w:cs="等线"/>
      <w:b/>
      <w:bCs/>
      <w:color w:val="000000"/>
      <w:sz w:val="20"/>
      <w:szCs w:val="20"/>
      <w:u w:val="none"/>
    </w:rPr>
  </w:style>
  <w:style w:type="character" w:customStyle="1" w:styleId="14">
    <w:name w:val="font21"/>
    <w:basedOn w:val="10"/>
    <w:qFormat/>
    <w:uiPriority w:val="0"/>
    <w:rPr>
      <w:rFonts w:hint="eastAsia" w:ascii="等线" w:hAnsi="等线" w:eastAsia="等线" w:cs="等线"/>
      <w:color w:val="000000"/>
      <w:sz w:val="20"/>
      <w:szCs w:val="20"/>
      <w:u w:val="none"/>
    </w:rPr>
  </w:style>
  <w:style w:type="character" w:customStyle="1" w:styleId="15">
    <w:name w:val="font141"/>
    <w:basedOn w:val="10"/>
    <w:qFormat/>
    <w:uiPriority w:val="0"/>
    <w:rPr>
      <w:rFonts w:hint="eastAsia" w:ascii="黑体" w:hAnsi="宋体" w:eastAsia="黑体" w:cs="黑体"/>
      <w:color w:val="000000"/>
      <w:sz w:val="20"/>
      <w:szCs w:val="20"/>
      <w:u w:val="none"/>
    </w:rPr>
  </w:style>
  <w:style w:type="character" w:customStyle="1" w:styleId="16">
    <w:name w:val="font161"/>
    <w:basedOn w:val="10"/>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5132</Words>
  <Characters>5492</Characters>
  <Lines>22</Lines>
  <Paragraphs>6</Paragraphs>
  <TotalTime>91</TotalTime>
  <ScaleCrop>false</ScaleCrop>
  <LinksUpToDate>false</LinksUpToDate>
  <CharactersWithSpaces>5625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2023-03-01T05:04:00Z</dcterms:created>
  <dc:creator>Windows 用户</dc:creator>
  <cp:lastModifiedBy>user</cp:lastModifiedBy>
  <cp:lastPrinted>2023-06-12T22:14:00Z</cp:lastPrinted>
  <dcterms:modified xsi:type="dcterms:W3CDTF">2023-07-27T09:25:38Z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75E42B45940D4660B28B3323DBBD46D1_13</vt:lpwstr>
  </property>
</Properties>
</file>